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3" w:firstLineChars="200"/>
        <w:jc w:val="center"/>
        <w:rPr>
          <w:rFonts w:hint="eastAsia" w:ascii="宋体" w:hAnsi="宋体" w:eastAsia="宋体" w:cs="宋体"/>
          <w:b/>
          <w:bCs w:val="0"/>
          <w:color w:val="000000"/>
          <w:sz w:val="44"/>
          <w:szCs w:val="44"/>
        </w:rPr>
      </w:pPr>
      <w:r>
        <w:rPr>
          <w:rFonts w:hint="eastAsia" w:ascii="宋体" w:hAnsi="宋体" w:eastAsia="宋体" w:cs="宋体"/>
          <w:b/>
          <w:bCs w:val="0"/>
          <w:color w:val="000000"/>
          <w:sz w:val="44"/>
          <w:szCs w:val="44"/>
        </w:rPr>
        <w:t>寿县技工学校“免学费、助学金”项目预算评审报告</w:t>
      </w:r>
    </w:p>
    <w:p>
      <w:pPr>
        <w:ind w:firstLine="880" w:firstLineChars="200"/>
        <w:jc w:val="center"/>
        <w:rPr>
          <w:rFonts w:hint="eastAsia" w:ascii="宋体" w:hAnsi="宋体" w:eastAsia="宋体" w:cs="宋体"/>
          <w:bCs/>
          <w:color w:val="000000"/>
          <w:sz w:val="44"/>
          <w:szCs w:val="44"/>
        </w:rPr>
      </w:pPr>
    </w:p>
    <w:p>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根据项目预算编制有关要求，我单位于202</w:t>
      </w:r>
      <w:r>
        <w:rPr>
          <w:rFonts w:hint="eastAsia" w:ascii="宋体" w:hAnsi="宋体" w:eastAsia="宋体" w:cs="宋体"/>
          <w:color w:val="333333"/>
          <w:sz w:val="28"/>
          <w:szCs w:val="28"/>
          <w:shd w:val="clear" w:color="auto" w:fill="FFFFFF"/>
          <w:lang w:val="en-US" w:eastAsia="zh-CN"/>
        </w:rPr>
        <w:t>2</w:t>
      </w:r>
      <w:r>
        <w:rPr>
          <w:rFonts w:hint="eastAsia" w:ascii="宋体" w:hAnsi="宋体" w:eastAsia="宋体" w:cs="宋体"/>
          <w:color w:val="333333"/>
          <w:sz w:val="28"/>
          <w:szCs w:val="28"/>
          <w:shd w:val="clear" w:color="auto" w:fill="FFFFFF"/>
        </w:rPr>
        <w:t>年10月19日至10月21日对2023年“免学费、助学金”项目预算经费进行了预算评审。依据国家法律、法规和有关规定，本着客观、公正的原则，对项目的立项情况、项目的依据性和必要性、项目资金内容进行了评审，对相关</w:t>
      </w:r>
      <w:r>
        <w:rPr>
          <w:rFonts w:hint="eastAsia" w:ascii="宋体" w:hAnsi="宋体" w:eastAsia="宋体" w:cs="宋体"/>
          <w:color w:val="333333"/>
          <w:sz w:val="28"/>
          <w:szCs w:val="28"/>
          <w:shd w:val="clear" w:color="auto" w:fill="FFFFFF"/>
          <w:lang w:val="en-US" w:eastAsia="zh-CN"/>
        </w:rPr>
        <w:t>事宜</w:t>
      </w:r>
      <w:r>
        <w:rPr>
          <w:rFonts w:hint="eastAsia" w:ascii="宋体" w:hAnsi="宋体" w:eastAsia="宋体" w:cs="宋体"/>
          <w:color w:val="333333"/>
          <w:sz w:val="28"/>
          <w:szCs w:val="28"/>
          <w:shd w:val="clear" w:color="auto" w:fill="FFFFFF"/>
        </w:rPr>
        <w:t>进行了现场踏勘、复核、计算等，现将评审情况报告如下：</w:t>
      </w:r>
    </w:p>
    <w:p>
      <w:pPr>
        <w:keepNext w:val="0"/>
        <w:keepLines w:val="0"/>
        <w:pageBreakBefore w:val="0"/>
        <w:kinsoku/>
        <w:wordWrap/>
        <w:overflowPunct/>
        <w:topLinePunct w:val="0"/>
        <w:autoSpaceDE/>
        <w:autoSpaceDN/>
        <w:bidi w:val="0"/>
        <w:adjustRightInd/>
        <w:snapToGrid/>
        <w:spacing w:line="600" w:lineRule="exact"/>
        <w:ind w:firstLine="562" w:firstLineChars="200"/>
        <w:textAlignment w:val="auto"/>
        <w:rPr>
          <w:rFonts w:hint="eastAsia" w:ascii="宋体" w:hAnsi="宋体" w:eastAsia="宋体" w:cs="宋体"/>
          <w:b/>
          <w:bCs/>
          <w:color w:val="333333"/>
          <w:sz w:val="28"/>
          <w:szCs w:val="28"/>
          <w:shd w:val="clear" w:color="auto" w:fill="FFFFFF"/>
        </w:rPr>
      </w:pPr>
      <w:r>
        <w:rPr>
          <w:rFonts w:hint="eastAsia" w:ascii="宋体" w:hAnsi="宋体" w:eastAsia="宋体" w:cs="宋体"/>
          <w:b/>
          <w:bCs/>
          <w:color w:val="333333"/>
          <w:sz w:val="28"/>
          <w:szCs w:val="28"/>
          <w:shd w:val="clear" w:color="auto" w:fill="FFFFFF"/>
        </w:rPr>
        <w:t>一、基本情况</w:t>
      </w:r>
    </w:p>
    <w:p>
      <w:pPr>
        <w:keepNext w:val="0"/>
        <w:keepLines w:val="0"/>
        <w:pageBreakBefore w:val="0"/>
        <w:kinsoku/>
        <w:wordWrap/>
        <w:overflowPunct/>
        <w:topLinePunct w:val="0"/>
        <w:autoSpaceDE/>
        <w:autoSpaceDN/>
        <w:bidi w:val="0"/>
        <w:adjustRightInd/>
        <w:snapToGrid/>
        <w:spacing w:line="600" w:lineRule="exact"/>
        <w:ind w:firstLine="562" w:firstLineChars="200"/>
        <w:textAlignment w:val="auto"/>
        <w:rPr>
          <w:rFonts w:hint="eastAsia" w:ascii="宋体" w:hAnsi="宋体" w:eastAsia="宋体" w:cs="宋体"/>
          <w:b/>
          <w:bCs/>
          <w:color w:val="333333"/>
          <w:sz w:val="28"/>
          <w:szCs w:val="28"/>
          <w:shd w:val="clear" w:color="auto" w:fill="FFFFFF"/>
        </w:rPr>
      </w:pPr>
      <w:r>
        <w:rPr>
          <w:rFonts w:hint="eastAsia" w:ascii="宋体" w:hAnsi="宋体" w:eastAsia="宋体" w:cs="宋体"/>
          <w:b/>
          <w:bCs/>
          <w:color w:val="333333"/>
          <w:sz w:val="28"/>
          <w:szCs w:val="28"/>
          <w:shd w:val="clear" w:color="auto" w:fill="FFFFFF"/>
        </w:rPr>
        <w:t>（一）项目概况</w:t>
      </w:r>
    </w:p>
    <w:p>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安徽省寿县技工学校是由省政府批准开办淮南市县级政府部门主办的技工学校，隶属县人社局。学校位于寿县城关镇北门外，校园环境优美，设施完善，有标准的学生公寓，独立的卫生间，全天候冷热水供给，是学习、工作、生活的好地方。办校以来为社会培养了大量各类优秀人才,我校学生王业涛、汪言旭在“全国机械行业职业教育技能大赛3D打印装调修与应用赛项”中荣获二等奖。岳玉梅同学获得全省劳动出版“技能雏鹰”奖（助）学金3000元。刘汉美、邓勤俊同学在合肥京东方科技有限公司被提干，现任线长、班长。</w:t>
      </w:r>
    </w:p>
    <w:p>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r>
        <w:rPr>
          <w:rFonts w:hint="eastAsia" w:ascii="宋体" w:hAnsi="宋体" w:eastAsia="宋体" w:cs="宋体"/>
          <w:sz w:val="28"/>
          <w:szCs w:val="28"/>
        </w:rPr>
        <w:t>我校现有公共实训基地两处，投资近千万元购置实训设备，学校实训设备和硬件设施完善。学校开设的专业有：数控技术应用、计算机应用、电工电子、汽车运用与维修、学前教育等九个专业。学生毕业后可免费推荐到世界五百强企业工作。多年来，学校被属地公安部门评为 “安全校园”。</w:t>
      </w:r>
    </w:p>
    <w:p>
      <w:pPr>
        <w:keepNext w:val="0"/>
        <w:keepLines w:val="0"/>
        <w:pageBreakBefore w:val="0"/>
        <w:kinsoku/>
        <w:wordWrap/>
        <w:overflowPunct/>
        <w:topLinePunct w:val="0"/>
        <w:autoSpaceDE/>
        <w:autoSpaceDN/>
        <w:bidi w:val="0"/>
        <w:adjustRightInd/>
        <w:snapToGrid/>
        <w:spacing w:line="600" w:lineRule="exact"/>
        <w:ind w:firstLine="420" w:firstLineChars="150"/>
        <w:jc w:val="left"/>
        <w:textAlignment w:val="auto"/>
        <w:rPr>
          <w:rFonts w:hint="eastAsia"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w:t>
      </w:r>
      <w:r>
        <w:rPr>
          <w:rFonts w:hint="eastAsia" w:ascii="宋体" w:hAnsi="宋体" w:eastAsia="宋体" w:cs="宋体"/>
          <w:b/>
          <w:color w:val="333333"/>
          <w:sz w:val="28"/>
          <w:szCs w:val="28"/>
          <w:shd w:val="clear" w:color="auto" w:fill="FFFFFF"/>
        </w:rPr>
        <w:t>免学费、助学金</w:t>
      </w:r>
      <w:r>
        <w:rPr>
          <w:rFonts w:hint="eastAsia" w:ascii="宋体" w:hAnsi="宋体" w:eastAsia="宋体" w:cs="宋体"/>
          <w:color w:val="333333"/>
          <w:sz w:val="28"/>
          <w:szCs w:val="28"/>
          <w:shd w:val="clear" w:color="auto" w:fill="FFFFFF"/>
        </w:rPr>
        <w:t>”项目是为贯彻落实2012年《政府工作报告》和《国家中长期教育改革和发展规划纲要（2010-2020年）》有关要求下，从2012年秋学期起，对公办中等职业学校全日制正式学籍一、二、三年级在校学生中所有农村（含县镇）学生，城市涉农专业学生和家庭经困难学生免除学费（艺术类相关表演专业除外）。</w:t>
      </w:r>
    </w:p>
    <w:p>
      <w:pPr>
        <w:keepNext w:val="0"/>
        <w:keepLines w:val="0"/>
        <w:pageBreakBefore w:val="0"/>
        <w:kinsoku/>
        <w:wordWrap/>
        <w:overflowPunct/>
        <w:topLinePunct w:val="0"/>
        <w:autoSpaceDE/>
        <w:autoSpaceDN/>
        <w:bidi w:val="0"/>
        <w:adjustRightInd/>
        <w:snapToGrid/>
        <w:spacing w:line="600" w:lineRule="exact"/>
        <w:ind w:firstLine="602" w:firstLineChars="200"/>
        <w:jc w:val="left"/>
        <w:textAlignment w:val="auto"/>
        <w:rPr>
          <w:rFonts w:hint="eastAsia" w:ascii="宋体" w:hAnsi="宋体" w:eastAsia="宋体" w:cs="宋体"/>
          <w:b/>
          <w:bCs/>
          <w:sz w:val="28"/>
          <w:szCs w:val="28"/>
        </w:rPr>
      </w:pPr>
      <w:r>
        <w:rPr>
          <w:rFonts w:hint="eastAsia" w:ascii="宋体" w:hAnsi="宋体" w:eastAsia="宋体" w:cs="宋体"/>
          <w:b/>
          <w:sz w:val="30"/>
          <w:szCs w:val="30"/>
          <w:lang w:val="en-US" w:eastAsia="zh-CN"/>
        </w:rPr>
        <w:t>1、</w:t>
      </w:r>
      <w:r>
        <w:rPr>
          <w:rFonts w:hint="eastAsia" w:ascii="宋体" w:hAnsi="宋体" w:eastAsia="宋体" w:cs="宋体"/>
          <w:b/>
          <w:sz w:val="28"/>
          <w:szCs w:val="28"/>
          <w:lang w:val="en-US" w:eastAsia="zh-CN"/>
        </w:rPr>
        <w:t>国家</w:t>
      </w:r>
      <w:r>
        <w:rPr>
          <w:rFonts w:hint="eastAsia" w:ascii="宋体" w:hAnsi="宋体" w:eastAsia="宋体" w:cs="宋体"/>
          <w:b/>
          <w:sz w:val="28"/>
          <w:szCs w:val="28"/>
        </w:rPr>
        <w:t>免学费</w:t>
      </w:r>
      <w:r>
        <w:rPr>
          <w:rFonts w:hint="eastAsia" w:ascii="宋体" w:hAnsi="宋体" w:eastAsia="宋体" w:cs="宋体"/>
          <w:sz w:val="28"/>
          <w:szCs w:val="28"/>
        </w:rPr>
        <w:t>：我校根据《</w:t>
      </w:r>
      <w:r>
        <w:rPr>
          <w:rFonts w:hint="eastAsia" w:ascii="宋体" w:hAnsi="宋体" w:eastAsia="宋体" w:cs="宋体"/>
          <w:sz w:val="28"/>
          <w:szCs w:val="28"/>
          <w:lang w:val="en-US" w:eastAsia="zh-CN"/>
        </w:rPr>
        <w:t>2022年秋季学期淮南市技工院校学生资助工作方案</w:t>
      </w:r>
      <w:r>
        <w:rPr>
          <w:rFonts w:hint="eastAsia" w:ascii="宋体" w:hAnsi="宋体" w:eastAsia="宋体" w:cs="宋体"/>
          <w:sz w:val="28"/>
          <w:szCs w:val="28"/>
        </w:rPr>
        <w:t>》的通知，对技工院校全日制正式学籍一、二、三年级在校生中所有农村（含县镇）学生、城市涉农专业学生、建档立卡学生和家庭经济困难学生免除学费（含戏曲表演专业学生，艺术类其它表演专业学生除外）。</w:t>
      </w:r>
    </w:p>
    <w:p>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为保证学校正常运转，对因免除学费导致学校收入减少的部分由财政</w:t>
      </w:r>
      <w:r>
        <w:rPr>
          <w:rFonts w:hint="eastAsia" w:ascii="宋体" w:hAnsi="宋体" w:eastAsia="宋体" w:cs="宋体"/>
          <w:color w:val="333333"/>
          <w:sz w:val="28"/>
          <w:szCs w:val="28"/>
          <w:shd w:val="clear" w:color="auto" w:fill="FFFFFF"/>
          <w:lang w:val="en-US" w:eastAsia="zh-CN"/>
        </w:rPr>
        <w:t>按照享受免学费政策学生人数和</w:t>
      </w:r>
      <w:r>
        <w:rPr>
          <w:rFonts w:hint="eastAsia" w:ascii="宋体" w:hAnsi="宋体" w:eastAsia="宋体" w:cs="宋体"/>
          <w:color w:val="333333"/>
          <w:sz w:val="28"/>
          <w:szCs w:val="28"/>
          <w:shd w:val="clear" w:color="auto" w:fill="FFFFFF"/>
        </w:rPr>
        <w:t>免学费标准补助学校</w:t>
      </w:r>
      <w:r>
        <w:rPr>
          <w:rFonts w:hint="eastAsia" w:ascii="宋体" w:hAnsi="宋体" w:eastAsia="宋体" w:cs="宋体"/>
          <w:color w:val="333333"/>
          <w:sz w:val="28"/>
          <w:szCs w:val="28"/>
          <w:shd w:val="clear" w:color="auto" w:fill="FFFFFF"/>
          <w:lang w:eastAsia="zh-CN"/>
        </w:rPr>
        <w:t>，</w:t>
      </w:r>
      <w:r>
        <w:rPr>
          <w:rFonts w:hint="eastAsia" w:ascii="宋体" w:hAnsi="宋体" w:eastAsia="宋体" w:cs="宋体"/>
          <w:color w:val="333333"/>
          <w:sz w:val="28"/>
          <w:szCs w:val="28"/>
          <w:shd w:val="clear" w:color="auto" w:fill="FFFFFF"/>
          <w:lang w:val="en-US" w:eastAsia="zh-CN"/>
        </w:rPr>
        <w:t>弥补学校运转出现的经费缺口</w:t>
      </w:r>
      <w:r>
        <w:rPr>
          <w:rFonts w:hint="eastAsia" w:ascii="宋体" w:hAnsi="宋体" w:eastAsia="宋体" w:cs="宋体"/>
          <w:color w:val="333333"/>
          <w:sz w:val="28"/>
          <w:szCs w:val="28"/>
          <w:shd w:val="clear" w:color="auto" w:fill="FFFFFF"/>
        </w:rPr>
        <w:t>。</w:t>
      </w:r>
    </w:p>
    <w:p>
      <w:pPr>
        <w:keepNext w:val="0"/>
        <w:keepLines w:val="0"/>
        <w:pageBreakBefore w:val="0"/>
        <w:kinsoku/>
        <w:wordWrap/>
        <w:overflowPunct/>
        <w:topLinePunct w:val="0"/>
        <w:autoSpaceDE/>
        <w:autoSpaceDN/>
        <w:bidi w:val="0"/>
        <w:adjustRightInd/>
        <w:snapToGrid/>
        <w:spacing w:line="600" w:lineRule="exact"/>
        <w:ind w:firstLine="562" w:firstLineChars="200"/>
        <w:jc w:val="left"/>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2、</w:t>
      </w:r>
      <w:r>
        <w:rPr>
          <w:rFonts w:hint="eastAsia" w:ascii="宋体" w:hAnsi="宋体" w:eastAsia="宋体" w:cs="宋体"/>
          <w:b/>
          <w:bCs/>
          <w:sz w:val="28"/>
          <w:szCs w:val="28"/>
        </w:rPr>
        <w:t>国家助学金</w:t>
      </w:r>
      <w:r>
        <w:rPr>
          <w:rFonts w:hint="eastAsia" w:ascii="宋体" w:hAnsi="宋体" w:eastAsia="宋体" w:cs="宋体"/>
          <w:sz w:val="28"/>
          <w:szCs w:val="28"/>
        </w:rPr>
        <w:t>：用于资助技工院校全日制正式学籍一、二年级在校涉农专业学生、建档立卡学生和非涉农专业家庭经济困难学生。为切实减轻贫困地区技工院校学生家庭经济负担，根据《中国农村扶贫开发纲要（2011-2020年）》有关精神，我省大别山连片特困地区技工院校农村学生（不含县城）全部纳入享受助学金范围。平均资助标准为每生每年2000元。</w:t>
      </w:r>
    </w:p>
    <w:p>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我校以培养学生的思想品德、身心健康、劳动技能素质为基础，以顺应时代发展要求，以工学结合、校企合作、顶岗实习为模式，坚持理论学习与技能培养，为社会输送思想过硬、品学兼优、具有综合职业能力的专业型、技能型人才。</w:t>
      </w:r>
    </w:p>
    <w:p>
      <w:pPr>
        <w:pStyle w:val="10"/>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宋体" w:hAnsi="宋体" w:eastAsia="宋体" w:cs="宋体"/>
          <w:b/>
          <w:bCs/>
          <w:kern w:val="2"/>
          <w:sz w:val="28"/>
          <w:szCs w:val="28"/>
        </w:rPr>
      </w:pPr>
      <w:r>
        <w:rPr>
          <w:rFonts w:hint="eastAsia" w:ascii="宋体" w:hAnsi="宋体" w:eastAsia="宋体" w:cs="宋体"/>
          <w:b/>
          <w:bCs/>
          <w:kern w:val="2"/>
          <w:sz w:val="28"/>
          <w:szCs w:val="28"/>
        </w:rPr>
        <w:t>（二）项目立项及绩效目标制定情况</w:t>
      </w:r>
    </w:p>
    <w:p>
      <w:pPr>
        <w:pStyle w:val="10"/>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宋体" w:hAnsi="宋体" w:eastAsia="宋体" w:cs="宋体"/>
          <w:kern w:val="2"/>
          <w:sz w:val="28"/>
          <w:szCs w:val="28"/>
        </w:rPr>
      </w:pPr>
      <w:r>
        <w:rPr>
          <w:rFonts w:hint="eastAsia" w:ascii="宋体" w:hAnsi="宋体" w:eastAsia="宋体" w:cs="宋体"/>
          <w:kern w:val="2"/>
          <w:sz w:val="28"/>
          <w:szCs w:val="28"/>
        </w:rPr>
        <w:t>根据绩效管理要求，寿县技工学校组织对2023年度的项目支出全面开展了绩效自评，共2个项目，涉及资金95.26万元。</w:t>
      </w:r>
    </w:p>
    <w:p>
      <w:pPr>
        <w:pStyle w:val="10"/>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宋体" w:hAnsi="宋体" w:eastAsia="宋体" w:cs="宋体"/>
          <w:kern w:val="2"/>
          <w:sz w:val="28"/>
          <w:szCs w:val="28"/>
        </w:rPr>
      </w:pPr>
      <w:r>
        <w:rPr>
          <w:rFonts w:hint="eastAsia" w:ascii="宋体" w:hAnsi="宋体" w:eastAsia="宋体" w:cs="宋体"/>
          <w:kern w:val="2"/>
          <w:sz w:val="28"/>
          <w:szCs w:val="28"/>
        </w:rPr>
        <w:t>我校组织对“免学费、助学金”项目开展了单位绩效评价，涉及资金95.26万元。该项目开展绩效评价的组织方式由单位自主实施，项目各项指标设定综合总分为10分。从评价情况看，绩效目标设定明确，项目实施进度良好，项目效益发挥明显。通过自评各项指标综合得分9.8分，达到了预期目标，事前绩效评审及绩效目标初审结论均为良好。</w:t>
      </w:r>
    </w:p>
    <w:p>
      <w:pPr>
        <w:pStyle w:val="10"/>
        <w:keepNext w:val="0"/>
        <w:keepLines w:val="0"/>
        <w:pageBreakBefore w:val="0"/>
        <w:widowControl/>
        <w:kinsoku/>
        <w:wordWrap/>
        <w:overflowPunct/>
        <w:topLinePunct w:val="0"/>
        <w:autoSpaceDE/>
        <w:autoSpaceDN/>
        <w:bidi w:val="0"/>
        <w:adjustRightInd/>
        <w:snapToGrid/>
        <w:spacing w:line="600" w:lineRule="exact"/>
        <w:ind w:firstLine="1405" w:firstLineChars="500"/>
        <w:textAlignment w:val="auto"/>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ind w:firstLine="1405" w:firstLineChars="500"/>
        <w:rPr>
          <w:rFonts w:hint="eastAsia" w:ascii="宋体" w:hAnsi="宋体" w:eastAsia="宋体" w:cs="宋体"/>
          <w:b/>
          <w:color w:val="000000"/>
          <w:sz w:val="28"/>
          <w:szCs w:val="28"/>
        </w:rPr>
      </w:pPr>
    </w:p>
    <w:p>
      <w:pPr>
        <w:pStyle w:val="10"/>
        <w:widowControl/>
        <w:rPr>
          <w:rFonts w:hint="eastAsia" w:ascii="宋体" w:hAnsi="宋体" w:eastAsia="宋体" w:cs="宋体"/>
          <w:b/>
          <w:color w:val="000000"/>
          <w:sz w:val="28"/>
          <w:szCs w:val="28"/>
        </w:rPr>
      </w:pPr>
    </w:p>
    <w:p>
      <w:pPr>
        <w:pStyle w:val="10"/>
        <w:widowControl/>
        <w:rPr>
          <w:rFonts w:hint="eastAsia" w:ascii="宋体" w:hAnsi="宋体" w:eastAsia="宋体" w:cs="宋体"/>
          <w:b/>
          <w:color w:val="000000"/>
          <w:sz w:val="28"/>
          <w:szCs w:val="28"/>
        </w:rPr>
      </w:pPr>
    </w:p>
    <w:p>
      <w:pPr>
        <w:pStyle w:val="10"/>
        <w:widowControl/>
        <w:rPr>
          <w:rFonts w:hint="eastAsia" w:ascii="宋体" w:hAnsi="宋体" w:eastAsia="宋体" w:cs="宋体"/>
          <w:b/>
          <w:color w:val="000000"/>
          <w:sz w:val="28"/>
          <w:szCs w:val="28"/>
        </w:rPr>
      </w:pPr>
    </w:p>
    <w:p>
      <w:pPr>
        <w:pStyle w:val="10"/>
        <w:widowControl/>
        <w:rPr>
          <w:rFonts w:hint="eastAsia" w:ascii="宋体" w:hAnsi="宋体" w:eastAsia="宋体" w:cs="宋体"/>
          <w:b/>
          <w:color w:val="000000"/>
          <w:sz w:val="28"/>
          <w:szCs w:val="28"/>
        </w:rPr>
      </w:pPr>
    </w:p>
    <w:p>
      <w:pPr>
        <w:pStyle w:val="10"/>
        <w:widowControl/>
        <w:jc w:val="center"/>
        <w:rPr>
          <w:rFonts w:hint="eastAsia" w:ascii="宋体" w:hAnsi="宋体" w:eastAsia="宋体" w:cs="宋体"/>
          <w:color w:val="333333"/>
          <w:kern w:val="2"/>
          <w:sz w:val="28"/>
          <w:szCs w:val="28"/>
          <w:shd w:val="clear" w:color="auto" w:fill="FFFFFF"/>
        </w:rPr>
      </w:pPr>
      <w:r>
        <w:rPr>
          <w:rFonts w:hint="eastAsia" w:ascii="宋体" w:hAnsi="宋体" w:eastAsia="宋体" w:cs="宋体"/>
          <w:b/>
          <w:color w:val="000000"/>
          <w:sz w:val="28"/>
          <w:szCs w:val="28"/>
        </w:rPr>
        <w:t>寿县技工学校项目预算绩效自评表</w:t>
      </w:r>
    </w:p>
    <w:tbl>
      <w:tblPr>
        <w:tblStyle w:val="5"/>
        <w:tblW w:w="10904" w:type="dxa"/>
        <w:tblInd w:w="-1026" w:type="dxa"/>
        <w:tblLayout w:type="autofit"/>
        <w:tblCellMar>
          <w:top w:w="0" w:type="dxa"/>
          <w:left w:w="108" w:type="dxa"/>
          <w:bottom w:w="0" w:type="dxa"/>
          <w:right w:w="108" w:type="dxa"/>
        </w:tblCellMar>
      </w:tblPr>
      <w:tblGrid>
        <w:gridCol w:w="1134"/>
        <w:gridCol w:w="1418"/>
        <w:gridCol w:w="737"/>
        <w:gridCol w:w="262"/>
        <w:gridCol w:w="1201"/>
        <w:gridCol w:w="1634"/>
        <w:gridCol w:w="985"/>
        <w:gridCol w:w="284"/>
        <w:gridCol w:w="1329"/>
        <w:gridCol w:w="960"/>
        <w:gridCol w:w="960"/>
      </w:tblGrid>
      <w:tr>
        <w:tblPrEx>
          <w:tblCellMar>
            <w:top w:w="0" w:type="dxa"/>
            <w:left w:w="108" w:type="dxa"/>
            <w:bottom w:w="0" w:type="dxa"/>
            <w:right w:w="108" w:type="dxa"/>
          </w:tblCellMar>
        </w:tblPrEx>
        <w:trPr>
          <w:trHeight w:val="280" w:hRule="atLeast"/>
        </w:trPr>
        <w:tc>
          <w:tcPr>
            <w:tcW w:w="8984" w:type="dxa"/>
            <w:gridSpan w:val="9"/>
            <w:tcBorders>
              <w:top w:val="nil"/>
              <w:left w:val="nil"/>
              <w:bottom w:val="single" w:color="auto" w:sz="4" w:space="0"/>
              <w:right w:val="nil"/>
            </w:tcBorders>
            <w:shd w:val="clear" w:color="000000" w:fill="FFFFFF"/>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（2023年度）</w:t>
            </w:r>
          </w:p>
        </w:tc>
        <w:tc>
          <w:tcPr>
            <w:tcW w:w="960" w:type="dxa"/>
            <w:tcBorders>
              <w:top w:val="nil"/>
              <w:left w:val="nil"/>
              <w:bottom w:val="nil"/>
              <w:right w:val="nil"/>
            </w:tcBorders>
            <w:shd w:val="clear" w:color="auto" w:fill="auto"/>
            <w:noWrap/>
            <w:vAlign w:val="center"/>
          </w:tcPr>
          <w:p>
            <w:pPr>
              <w:widowControl/>
              <w:jc w:val="left"/>
              <w:rPr>
                <w:rFonts w:hint="eastAsia" w:ascii="宋体" w:hAnsi="宋体" w:eastAsia="宋体" w:cs="宋体"/>
                <w:color w:val="000000"/>
                <w:kern w:val="0"/>
                <w:sz w:val="21"/>
                <w:szCs w:val="21"/>
              </w:rPr>
            </w:pPr>
          </w:p>
        </w:tc>
        <w:tc>
          <w:tcPr>
            <w:tcW w:w="960" w:type="dxa"/>
            <w:tcBorders>
              <w:top w:val="nil"/>
              <w:left w:val="nil"/>
              <w:bottom w:val="nil"/>
              <w:right w:val="nil"/>
            </w:tcBorders>
            <w:shd w:val="clear" w:color="auto" w:fill="auto"/>
            <w:noWrap/>
            <w:vAlign w:val="center"/>
          </w:tcPr>
          <w:p>
            <w:pPr>
              <w:widowControl/>
              <w:jc w:val="left"/>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80" w:hRule="atLeast"/>
        </w:trPr>
        <w:tc>
          <w:tcPr>
            <w:tcW w:w="355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项目名称</w:t>
            </w:r>
          </w:p>
        </w:tc>
        <w:tc>
          <w:tcPr>
            <w:tcW w:w="2835"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免学费、助学金</w:t>
            </w:r>
          </w:p>
        </w:tc>
        <w:tc>
          <w:tcPr>
            <w:tcW w:w="1269"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项目负责人及联系电话</w:t>
            </w:r>
          </w:p>
        </w:tc>
        <w:tc>
          <w:tcPr>
            <w:tcW w:w="3249" w:type="dxa"/>
            <w:gridSpan w:val="3"/>
            <w:tcBorders>
              <w:top w:val="single" w:color="auto" w:sz="4" w:space="0"/>
              <w:left w:val="nil"/>
              <w:bottom w:val="single" w:color="auto" w:sz="4" w:space="0"/>
              <w:right w:val="single" w:color="000000" w:sz="4" w:space="0"/>
            </w:tcBorders>
            <w:shd w:val="clear" w:color="000000" w:fill="FFFFFF"/>
            <w:vAlign w:val="center"/>
          </w:tcPr>
          <w:p>
            <w:pPr>
              <w:widowControl/>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rPr>
              <w:t>方良俊</w:t>
            </w:r>
            <w:r>
              <w:rPr>
                <w:rFonts w:hint="eastAsia" w:ascii="宋体" w:hAnsi="宋体" w:eastAsia="宋体" w:cs="宋体"/>
                <w:kern w:val="0"/>
                <w:sz w:val="21"/>
                <w:szCs w:val="21"/>
                <w:lang w:val="en-US" w:eastAsia="zh-CN"/>
              </w:rPr>
              <w:t>4102109</w:t>
            </w:r>
          </w:p>
        </w:tc>
      </w:tr>
      <w:tr>
        <w:tblPrEx>
          <w:tblCellMar>
            <w:top w:w="0" w:type="dxa"/>
            <w:left w:w="108" w:type="dxa"/>
            <w:bottom w:w="0" w:type="dxa"/>
            <w:right w:w="108" w:type="dxa"/>
          </w:tblCellMar>
        </w:tblPrEx>
        <w:trPr>
          <w:trHeight w:val="280" w:hRule="atLeast"/>
        </w:trPr>
        <w:tc>
          <w:tcPr>
            <w:tcW w:w="355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主管部门</w:t>
            </w:r>
          </w:p>
        </w:tc>
        <w:tc>
          <w:tcPr>
            <w:tcW w:w="2835"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寿县人力资源和社会保障局</w:t>
            </w:r>
          </w:p>
        </w:tc>
        <w:tc>
          <w:tcPr>
            <w:tcW w:w="1269"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实施单位</w:t>
            </w:r>
          </w:p>
        </w:tc>
        <w:tc>
          <w:tcPr>
            <w:tcW w:w="3249" w:type="dxa"/>
            <w:gridSpan w:val="3"/>
            <w:tcBorders>
              <w:top w:val="single" w:color="auto" w:sz="4" w:space="0"/>
              <w:left w:val="nil"/>
              <w:bottom w:val="single" w:color="auto" w:sz="4" w:space="0"/>
              <w:right w:val="single" w:color="000000"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寿县技工学校</w:t>
            </w:r>
            <w:bookmarkStart w:id="0" w:name="_GoBack"/>
            <w:bookmarkEnd w:id="0"/>
          </w:p>
        </w:tc>
      </w:tr>
      <w:tr>
        <w:tblPrEx>
          <w:tblCellMar>
            <w:top w:w="0" w:type="dxa"/>
            <w:left w:w="108" w:type="dxa"/>
            <w:bottom w:w="0" w:type="dxa"/>
            <w:right w:w="108" w:type="dxa"/>
          </w:tblCellMar>
        </w:tblPrEx>
        <w:trPr>
          <w:trHeight w:val="280" w:hRule="atLeast"/>
        </w:trPr>
        <w:tc>
          <w:tcPr>
            <w:tcW w:w="355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是否事前绩效评估</w:t>
            </w:r>
          </w:p>
        </w:tc>
        <w:tc>
          <w:tcPr>
            <w:tcW w:w="2835"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是</w:t>
            </w:r>
          </w:p>
        </w:tc>
        <w:tc>
          <w:tcPr>
            <w:tcW w:w="12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是否绩效目标公开</w:t>
            </w:r>
          </w:p>
        </w:tc>
        <w:tc>
          <w:tcPr>
            <w:tcW w:w="3249"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是</w:t>
            </w:r>
          </w:p>
        </w:tc>
      </w:tr>
      <w:tr>
        <w:tblPrEx>
          <w:tblCellMar>
            <w:top w:w="0" w:type="dxa"/>
            <w:left w:w="108" w:type="dxa"/>
            <w:bottom w:w="0" w:type="dxa"/>
            <w:right w:w="108" w:type="dxa"/>
          </w:tblCellMar>
        </w:tblPrEx>
        <w:trPr>
          <w:trHeight w:val="280" w:hRule="atLeast"/>
        </w:trPr>
        <w:tc>
          <w:tcPr>
            <w:tcW w:w="355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事前绩效评估审核结论</w:t>
            </w:r>
          </w:p>
        </w:tc>
        <w:tc>
          <w:tcPr>
            <w:tcW w:w="2835"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良好</w:t>
            </w:r>
          </w:p>
        </w:tc>
        <w:tc>
          <w:tcPr>
            <w:tcW w:w="12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绩效目标初审结论</w:t>
            </w:r>
          </w:p>
        </w:tc>
        <w:tc>
          <w:tcPr>
            <w:tcW w:w="3249"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良好</w:t>
            </w:r>
          </w:p>
        </w:tc>
      </w:tr>
      <w:tr>
        <w:tblPrEx>
          <w:tblCellMar>
            <w:top w:w="0" w:type="dxa"/>
            <w:left w:w="108" w:type="dxa"/>
            <w:bottom w:w="0" w:type="dxa"/>
            <w:right w:w="108" w:type="dxa"/>
          </w:tblCellMar>
        </w:tblPrEx>
        <w:trPr>
          <w:trHeight w:val="280" w:hRule="atLeast"/>
        </w:trPr>
        <w:tc>
          <w:tcPr>
            <w:tcW w:w="113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项目年限及资金情况</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（万元）</w:t>
            </w:r>
          </w:p>
        </w:tc>
        <w:tc>
          <w:tcPr>
            <w:tcW w:w="141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项目开始年度</w:t>
            </w:r>
          </w:p>
        </w:tc>
        <w:tc>
          <w:tcPr>
            <w:tcW w:w="999" w:type="dxa"/>
            <w:gridSpan w:val="2"/>
            <w:tcBorders>
              <w:top w:val="nil"/>
              <w:left w:val="nil"/>
              <w:bottom w:val="single" w:color="auto" w:sz="4" w:space="0"/>
              <w:right w:val="single" w:color="auto" w:sz="4" w:space="0"/>
            </w:tcBorders>
            <w:shd w:val="clear" w:color="auto" w:fill="auto"/>
            <w:noWrap/>
            <w:vAlign w:val="bottom"/>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　2023</w:t>
            </w:r>
          </w:p>
        </w:tc>
        <w:tc>
          <w:tcPr>
            <w:tcW w:w="2835"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年度资金金额</w:t>
            </w:r>
          </w:p>
        </w:tc>
        <w:tc>
          <w:tcPr>
            <w:tcW w:w="4518" w:type="dxa"/>
            <w:gridSpan w:val="5"/>
            <w:tcBorders>
              <w:top w:val="single" w:color="auto" w:sz="4" w:space="0"/>
              <w:left w:val="nil"/>
              <w:bottom w:val="single" w:color="auto" w:sz="4" w:space="0"/>
              <w:right w:val="single" w:color="000000"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95.26</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项目终止年度</w:t>
            </w:r>
          </w:p>
        </w:tc>
        <w:tc>
          <w:tcPr>
            <w:tcW w:w="999" w:type="dxa"/>
            <w:gridSpan w:val="2"/>
            <w:tcBorders>
              <w:top w:val="nil"/>
              <w:left w:val="nil"/>
              <w:bottom w:val="single" w:color="auto" w:sz="4" w:space="0"/>
              <w:right w:val="single" w:color="auto" w:sz="4" w:space="0"/>
            </w:tcBorders>
            <w:shd w:val="clear" w:color="auto" w:fill="auto"/>
            <w:noWrap/>
            <w:vAlign w:val="bottom"/>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　2023</w:t>
            </w:r>
          </w:p>
        </w:tc>
        <w:tc>
          <w:tcPr>
            <w:tcW w:w="3820" w:type="dxa"/>
            <w:gridSpan w:val="3"/>
            <w:tcBorders>
              <w:top w:val="single" w:color="auto" w:sz="4" w:space="0"/>
              <w:left w:val="nil"/>
              <w:bottom w:val="single" w:color="auto" w:sz="4" w:space="0"/>
              <w:right w:val="single" w:color="000000" w:sz="4" w:space="0"/>
            </w:tcBorders>
            <w:shd w:val="clear" w:color="000000" w:fill="FFFFFF"/>
            <w:noWrap/>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其中：财政拨款（每项资金的名称和规模）</w:t>
            </w:r>
          </w:p>
        </w:tc>
        <w:tc>
          <w:tcPr>
            <w:tcW w:w="3533" w:type="dxa"/>
            <w:gridSpan w:val="4"/>
            <w:tcBorders>
              <w:top w:val="single" w:color="auto" w:sz="4" w:space="0"/>
              <w:left w:val="nil"/>
              <w:bottom w:val="single" w:color="auto" w:sz="4" w:space="0"/>
              <w:right w:val="single" w:color="000000"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95.26</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项目总资金</w:t>
            </w:r>
          </w:p>
        </w:tc>
        <w:tc>
          <w:tcPr>
            <w:tcW w:w="999" w:type="dxa"/>
            <w:gridSpan w:val="2"/>
            <w:tcBorders>
              <w:top w:val="nil"/>
              <w:left w:val="nil"/>
              <w:bottom w:val="single" w:color="auto" w:sz="4" w:space="0"/>
              <w:right w:val="single" w:color="auto" w:sz="4" w:space="0"/>
            </w:tcBorders>
            <w:shd w:val="clear" w:color="auto" w:fill="auto"/>
            <w:noWrap/>
            <w:vAlign w:val="bottom"/>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95.26</w:t>
            </w:r>
          </w:p>
        </w:tc>
        <w:tc>
          <w:tcPr>
            <w:tcW w:w="3820" w:type="dxa"/>
            <w:gridSpan w:val="3"/>
            <w:tcBorders>
              <w:top w:val="single" w:color="auto" w:sz="4" w:space="0"/>
              <w:left w:val="nil"/>
              <w:bottom w:val="single" w:color="auto" w:sz="4" w:space="0"/>
              <w:right w:val="single" w:color="000000"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     其他资金</w:t>
            </w:r>
          </w:p>
        </w:tc>
        <w:tc>
          <w:tcPr>
            <w:tcW w:w="3533" w:type="dxa"/>
            <w:gridSpan w:val="4"/>
            <w:tcBorders>
              <w:top w:val="single" w:color="auto" w:sz="4" w:space="0"/>
              <w:left w:val="nil"/>
              <w:bottom w:val="single" w:color="auto" w:sz="4" w:space="0"/>
              <w:right w:val="single" w:color="000000"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280" w:hRule="atLeast"/>
        </w:trPr>
        <w:tc>
          <w:tcPr>
            <w:tcW w:w="1134"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总</w:t>
            </w:r>
          </w:p>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体</w:t>
            </w:r>
          </w:p>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目</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标</w:t>
            </w:r>
          </w:p>
        </w:tc>
        <w:tc>
          <w:tcPr>
            <w:tcW w:w="9770" w:type="dxa"/>
            <w:gridSpan w:val="10"/>
            <w:tcBorders>
              <w:top w:val="single" w:color="auto" w:sz="4" w:space="0"/>
              <w:left w:val="nil"/>
              <w:bottom w:val="single" w:color="auto" w:sz="4" w:space="0"/>
              <w:right w:val="single" w:color="000000"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年度目标</w:t>
            </w:r>
          </w:p>
        </w:tc>
      </w:tr>
      <w:tr>
        <w:trPr>
          <w:trHeight w:val="606"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9770" w:type="dxa"/>
            <w:gridSpan w:val="10"/>
            <w:tcBorders>
              <w:top w:val="single" w:color="auto" w:sz="4" w:space="0"/>
              <w:left w:val="nil"/>
              <w:bottom w:val="single" w:color="auto" w:sz="4" w:space="0"/>
              <w:right w:val="single" w:color="000000"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全年新技工系统培养789人，覆盖率100%。</w:t>
            </w:r>
          </w:p>
        </w:tc>
      </w:tr>
      <w:tr>
        <w:tblPrEx>
          <w:tblCellMar>
            <w:top w:w="0" w:type="dxa"/>
            <w:left w:w="108" w:type="dxa"/>
            <w:bottom w:w="0" w:type="dxa"/>
            <w:right w:w="108" w:type="dxa"/>
          </w:tblCellMar>
        </w:tblPrEx>
        <w:trPr>
          <w:trHeight w:val="280" w:hRule="atLeast"/>
        </w:trPr>
        <w:tc>
          <w:tcPr>
            <w:tcW w:w="1134"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绩</w:t>
            </w:r>
          </w:p>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效</w:t>
            </w:r>
          </w:p>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指</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标</w:t>
            </w:r>
          </w:p>
        </w:tc>
        <w:tc>
          <w:tcPr>
            <w:tcW w:w="2155"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一级指标</w:t>
            </w:r>
          </w:p>
        </w:tc>
        <w:tc>
          <w:tcPr>
            <w:tcW w:w="1463"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二级指标</w:t>
            </w: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三级指标</w:t>
            </w: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指标值</w:t>
            </w:r>
          </w:p>
        </w:tc>
        <w:tc>
          <w:tcPr>
            <w:tcW w:w="96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分值</w:t>
            </w:r>
          </w:p>
        </w:tc>
        <w:tc>
          <w:tcPr>
            <w:tcW w:w="96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得分</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产出指标</w:t>
            </w:r>
          </w:p>
        </w:tc>
        <w:tc>
          <w:tcPr>
            <w:tcW w:w="1463" w:type="dxa"/>
            <w:gridSpan w:val="2"/>
            <w:vMerge w:val="restart"/>
            <w:tcBorders>
              <w:top w:val="nil"/>
              <w:left w:val="single" w:color="auto" w:sz="4" w:space="0"/>
              <w:bottom w:val="nil"/>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数量指标</w:t>
            </w: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sz w:val="21"/>
                <w:szCs w:val="21"/>
              </w:rPr>
            </w:pPr>
            <w:r>
              <w:rPr>
                <w:rFonts w:hint="eastAsia" w:ascii="宋体" w:hAnsi="宋体" w:eastAsia="宋体" w:cs="宋体"/>
                <w:sz w:val="21"/>
                <w:szCs w:val="21"/>
              </w:rPr>
              <w:t>计算机、汽车维修、轨道交通等专业班个数</w:t>
            </w:r>
          </w:p>
          <w:p>
            <w:pPr>
              <w:widowControl/>
              <w:jc w:val="left"/>
              <w:rPr>
                <w:rFonts w:hint="eastAsia" w:ascii="宋体" w:hAnsi="宋体" w:eastAsia="宋体" w:cs="宋体"/>
                <w:kern w:val="0"/>
                <w:sz w:val="21"/>
                <w:szCs w:val="21"/>
              </w:rPr>
            </w:pP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≥28个</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63" w:type="dxa"/>
            <w:gridSpan w:val="2"/>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kern w:val="0"/>
                <w:sz w:val="21"/>
                <w:szCs w:val="21"/>
              </w:rPr>
            </w:pP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sz w:val="21"/>
                <w:szCs w:val="21"/>
              </w:rPr>
            </w:pPr>
            <w:r>
              <w:rPr>
                <w:rFonts w:hint="eastAsia" w:ascii="宋体" w:hAnsi="宋体" w:eastAsia="宋体" w:cs="宋体"/>
                <w:sz w:val="21"/>
                <w:szCs w:val="21"/>
              </w:rPr>
              <w:t>计算机、汽车维修、轨道交通等专业班个数</w:t>
            </w:r>
          </w:p>
          <w:p>
            <w:pPr>
              <w:widowControl/>
              <w:jc w:val="left"/>
              <w:rPr>
                <w:rFonts w:hint="eastAsia" w:ascii="宋体" w:hAnsi="宋体" w:eastAsia="宋体" w:cs="宋体"/>
                <w:kern w:val="0"/>
                <w:sz w:val="21"/>
                <w:szCs w:val="21"/>
              </w:rPr>
            </w:pP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≥789人</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63" w:type="dxa"/>
            <w:gridSpan w:val="2"/>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kern w:val="0"/>
                <w:sz w:val="21"/>
                <w:szCs w:val="21"/>
              </w:rPr>
            </w:pP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经费支出合规性</w:t>
            </w: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100%</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63"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质量指标</w:t>
            </w: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培训合格率</w:t>
            </w: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≥98%</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63"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时效指标</w:t>
            </w: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免学费、助学金支出及时性</w:t>
            </w: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100%</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63"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成本指标</w:t>
            </w: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项目总成本情况</w:t>
            </w: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≤952560</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r>
      <w:tr>
        <w:tblPrEx>
          <w:tblCellMar>
            <w:top w:w="0" w:type="dxa"/>
            <w:left w:w="108" w:type="dxa"/>
            <w:bottom w:w="0" w:type="dxa"/>
            <w:right w:w="108" w:type="dxa"/>
          </w:tblCellMar>
        </w:tblPrEx>
        <w:trPr>
          <w:trHeight w:val="28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效益指标</w:t>
            </w:r>
          </w:p>
        </w:tc>
        <w:tc>
          <w:tcPr>
            <w:tcW w:w="1463"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社会效益指标</w:t>
            </w: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对促进事业发展的持续影响程度</w:t>
            </w: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明显</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r>
      <w:tr>
        <w:tblPrEx>
          <w:tblCellMar>
            <w:top w:w="0" w:type="dxa"/>
            <w:left w:w="108" w:type="dxa"/>
            <w:bottom w:w="0" w:type="dxa"/>
            <w:right w:w="108" w:type="dxa"/>
          </w:tblCellMar>
        </w:tblPrEx>
        <w:trPr>
          <w:trHeight w:val="620"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63"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可持续影响</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指标</w:t>
            </w:r>
          </w:p>
        </w:tc>
        <w:tc>
          <w:tcPr>
            <w:tcW w:w="2903" w:type="dxa"/>
            <w:gridSpan w:val="3"/>
            <w:tcBorders>
              <w:top w:val="single" w:color="auto" w:sz="4" w:space="0"/>
              <w:left w:val="nil"/>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反映服务对象或项目受益人对相关产出及其影响的认可程度</w:t>
            </w:r>
          </w:p>
        </w:tc>
        <w:tc>
          <w:tcPr>
            <w:tcW w:w="132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≥95%</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0.9</w:t>
            </w:r>
          </w:p>
        </w:tc>
      </w:tr>
      <w:tr>
        <w:tblPrEx>
          <w:tblCellMar>
            <w:top w:w="0" w:type="dxa"/>
            <w:left w:w="108" w:type="dxa"/>
            <w:bottom w:w="0" w:type="dxa"/>
            <w:right w:w="108" w:type="dxa"/>
          </w:tblCellMar>
        </w:tblPrEx>
        <w:trPr>
          <w:trHeight w:val="312"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满意度指标</w:t>
            </w:r>
          </w:p>
        </w:tc>
        <w:tc>
          <w:tcPr>
            <w:tcW w:w="1463" w:type="dxa"/>
            <w:gridSpan w:val="2"/>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服务对象</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满意度指标</w:t>
            </w:r>
          </w:p>
        </w:tc>
        <w:tc>
          <w:tcPr>
            <w:tcW w:w="2903"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服务对象满意度</w:t>
            </w:r>
          </w:p>
        </w:tc>
        <w:tc>
          <w:tcPr>
            <w:tcW w:w="132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98%</w:t>
            </w:r>
          </w:p>
        </w:tc>
        <w:tc>
          <w:tcPr>
            <w:tcW w:w="96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6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0.9</w:t>
            </w:r>
          </w:p>
        </w:tc>
      </w:tr>
      <w:tr>
        <w:tblPrEx>
          <w:tblCellMar>
            <w:top w:w="0" w:type="dxa"/>
            <w:left w:w="108" w:type="dxa"/>
            <w:bottom w:w="0" w:type="dxa"/>
            <w:right w:w="108" w:type="dxa"/>
          </w:tblCellMar>
        </w:tblPrEx>
        <w:trPr>
          <w:trHeight w:val="312" w:hRule="atLeast"/>
        </w:trPr>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15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463"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290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132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1"/>
                <w:szCs w:val="21"/>
              </w:rPr>
            </w:pPr>
          </w:p>
        </w:tc>
        <w:tc>
          <w:tcPr>
            <w:tcW w:w="960"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60"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1698" w:hRule="atLeast"/>
        </w:trPr>
        <w:tc>
          <w:tcPr>
            <w:tcW w:w="8984" w:type="dxa"/>
            <w:gridSpan w:val="9"/>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sz w:val="21"/>
                <w:szCs w:val="21"/>
              </w:rPr>
            </w:pPr>
            <w:r>
              <w:rPr>
                <w:rFonts w:hint="eastAsia" w:ascii="宋体" w:hAnsi="宋体" w:eastAsia="宋体" w:cs="宋体"/>
                <w:sz w:val="21"/>
                <w:szCs w:val="21"/>
              </w:rPr>
              <w:t>综合得分　</w:t>
            </w:r>
            <w:r>
              <w:rPr>
                <w:rFonts w:hint="eastAsia" w:ascii="宋体" w:hAnsi="宋体" w:eastAsia="宋体" w:cs="宋体"/>
                <w:kern w:val="0"/>
                <w:sz w:val="21"/>
                <w:szCs w:val="21"/>
              </w:rPr>
              <w:t>　</w:t>
            </w:r>
          </w:p>
        </w:tc>
        <w:tc>
          <w:tcPr>
            <w:tcW w:w="96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10</w:t>
            </w:r>
          </w:p>
        </w:tc>
        <w:tc>
          <w:tcPr>
            <w:tcW w:w="96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9.8</w:t>
            </w:r>
          </w:p>
        </w:tc>
      </w:tr>
    </w:tbl>
    <w:p>
      <w:pPr>
        <w:jc w:val="left"/>
        <w:rPr>
          <w:rStyle w:val="11"/>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宋体" w:hAnsi="宋体" w:eastAsia="宋体" w:cs="宋体"/>
          <w:sz w:val="28"/>
          <w:szCs w:val="28"/>
        </w:rPr>
      </w:pPr>
      <w:r>
        <w:rPr>
          <w:rStyle w:val="11"/>
          <w:rFonts w:hint="eastAsia" w:ascii="宋体" w:hAnsi="宋体" w:eastAsia="宋体" w:cs="宋体"/>
          <w:sz w:val="28"/>
          <w:szCs w:val="28"/>
        </w:rPr>
        <w:t>寿县技工学校2023年计划全年在寿县范围内招收初、高中毕业生及各类劳动者接受</w:t>
      </w:r>
      <w:r>
        <w:rPr>
          <w:rStyle w:val="11"/>
          <w:rFonts w:hint="eastAsia" w:ascii="宋体" w:hAnsi="宋体" w:eastAsia="宋体" w:cs="宋体"/>
          <w:sz w:val="28"/>
          <w:szCs w:val="28"/>
          <w:lang w:val="en-US" w:eastAsia="zh-CN"/>
        </w:rPr>
        <w:t>高质量就业技能提升计划</w:t>
      </w:r>
      <w:r>
        <w:rPr>
          <w:rStyle w:val="11"/>
          <w:rFonts w:hint="eastAsia" w:ascii="宋体" w:hAnsi="宋体" w:eastAsia="宋体" w:cs="宋体"/>
          <w:sz w:val="28"/>
          <w:szCs w:val="28"/>
        </w:rPr>
        <w:t>。学校制定《寿县技工学校</w:t>
      </w:r>
      <w:r>
        <w:rPr>
          <w:rStyle w:val="11"/>
          <w:rFonts w:hint="eastAsia" w:ascii="宋体" w:hAnsi="宋体" w:eastAsia="宋体" w:cs="宋体"/>
          <w:sz w:val="28"/>
          <w:szCs w:val="28"/>
          <w:lang w:val="en-US" w:eastAsia="zh-CN"/>
        </w:rPr>
        <w:t>高质量就业技能提升计划</w:t>
      </w:r>
      <w:r>
        <w:rPr>
          <w:rStyle w:val="11"/>
          <w:rFonts w:hint="eastAsia" w:ascii="宋体" w:hAnsi="宋体" w:eastAsia="宋体" w:cs="宋体"/>
          <w:sz w:val="28"/>
          <w:szCs w:val="28"/>
        </w:rPr>
        <w:t>实施方案》,明确培养专业、层次及补助发放方式等。培养专业有</w:t>
      </w:r>
      <w:r>
        <w:rPr>
          <w:rFonts w:hint="eastAsia" w:ascii="宋体" w:hAnsi="宋体" w:eastAsia="宋体" w:cs="宋体"/>
          <w:sz w:val="28"/>
          <w:szCs w:val="28"/>
        </w:rPr>
        <w:t>数控技术应用、计算机应用、电工电子、汽车维修、</w:t>
      </w:r>
      <w:r>
        <w:rPr>
          <w:rFonts w:hint="eastAsia" w:ascii="宋体" w:hAnsi="宋体" w:eastAsia="宋体" w:cs="宋体"/>
          <w:sz w:val="28"/>
          <w:szCs w:val="28"/>
          <w:lang w:val="en-US" w:eastAsia="zh-CN"/>
        </w:rPr>
        <w:t>幼儿</w:t>
      </w:r>
      <w:r>
        <w:rPr>
          <w:rFonts w:hint="eastAsia" w:ascii="宋体" w:hAnsi="宋体" w:eastAsia="宋体" w:cs="宋体"/>
          <w:sz w:val="28"/>
          <w:szCs w:val="28"/>
        </w:rPr>
        <w:t>教育等九个专业</w:t>
      </w:r>
      <w:r>
        <w:rPr>
          <w:rStyle w:val="11"/>
          <w:rFonts w:hint="eastAsia" w:ascii="宋体" w:hAnsi="宋体" w:eastAsia="宋体" w:cs="宋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r>
        <w:rPr>
          <w:rStyle w:val="11"/>
          <w:rFonts w:hint="eastAsia" w:ascii="宋体" w:hAnsi="宋体" w:eastAsia="宋体" w:cs="宋体"/>
          <w:sz w:val="28"/>
          <w:szCs w:val="28"/>
        </w:rPr>
        <w:t>为加快推进寿县企业技能人才队伍建设，适应社会经济发展，增加技能培训的针对性和实效性。</w:t>
      </w:r>
      <w:r>
        <w:rPr>
          <w:rFonts w:hint="eastAsia" w:ascii="宋体" w:hAnsi="宋体" w:eastAsia="宋体" w:cs="宋体"/>
          <w:color w:val="333333"/>
          <w:sz w:val="28"/>
          <w:szCs w:val="28"/>
          <w:shd w:val="clear" w:color="auto" w:fill="FFFFFF"/>
        </w:rPr>
        <w:t>采用工学一体和利用现代化教学模式，通过因材施教和实训指导方式，坚持着眼于实用性、规范性及可持续性为原则；以理论学习为基础，注重强化职业岗位操作技能，使其成为岗位技术能力、综合职业能力以及专业技术实践技能的优等生。为当地经济发展起到了巨大推动作用。通过项目的实施，总体效果良好，社会满意度较高。</w:t>
      </w:r>
    </w:p>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宋体" w:hAnsi="宋体" w:eastAsia="宋体" w:cs="宋体"/>
          <w:b/>
          <w:bCs/>
          <w:color w:val="333333"/>
          <w:sz w:val="28"/>
          <w:szCs w:val="28"/>
          <w:shd w:val="clear" w:color="auto" w:fill="FFFFFF"/>
        </w:rPr>
      </w:pPr>
      <w:r>
        <w:rPr>
          <w:rFonts w:hint="eastAsia" w:ascii="宋体" w:hAnsi="宋体" w:eastAsia="宋体" w:cs="宋体"/>
          <w:b/>
          <w:bCs/>
          <w:color w:val="333333"/>
          <w:sz w:val="28"/>
          <w:szCs w:val="28"/>
          <w:shd w:val="clear" w:color="auto" w:fill="FFFFFF"/>
        </w:rPr>
        <w:t>（三）项目资金编制情况</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寿县技工学校是 1 所财政全额拨款、公益一类事业单位，隶属于寿县人力资源和社会保障局。实有项目为“免学费”和“助学金”2个项目，预算资金分别为82.06万元和13.2万元，预算资金总额为95.26万元。</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b/>
          <w:color w:val="333333"/>
          <w:sz w:val="28"/>
          <w:szCs w:val="28"/>
          <w:shd w:val="clear" w:color="auto" w:fill="FFFFFF"/>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b/>
          <w:color w:val="333333"/>
          <w:sz w:val="28"/>
          <w:szCs w:val="28"/>
          <w:shd w:val="clear" w:color="auto" w:fill="FFFFFF"/>
        </w:rPr>
      </w:pPr>
    </w:p>
    <w:p>
      <w:pPr>
        <w:ind w:firstLine="843" w:firstLineChars="300"/>
        <w:jc w:val="center"/>
        <w:rPr>
          <w:rFonts w:hint="eastAsia" w:ascii="宋体" w:hAnsi="宋体" w:eastAsia="宋体" w:cs="宋体"/>
          <w:b/>
          <w:color w:val="333333"/>
          <w:sz w:val="28"/>
          <w:szCs w:val="28"/>
          <w:shd w:val="clear" w:color="auto" w:fill="FFFFFF"/>
        </w:rPr>
      </w:pPr>
      <w:r>
        <w:rPr>
          <w:rFonts w:hint="eastAsia" w:ascii="宋体" w:hAnsi="宋体" w:eastAsia="宋体" w:cs="宋体"/>
          <w:b/>
          <w:color w:val="333333"/>
          <w:sz w:val="28"/>
          <w:szCs w:val="28"/>
          <w:shd w:val="clear" w:color="auto" w:fill="FFFFFF"/>
        </w:rPr>
        <w:t>2023年寿县部门预算项目支出申报表</w:t>
      </w:r>
    </w:p>
    <w:tbl>
      <w:tblPr>
        <w:tblStyle w:val="5"/>
        <w:tblW w:w="11092" w:type="dxa"/>
        <w:tblInd w:w="-1168" w:type="dxa"/>
        <w:tblLayout w:type="autofit"/>
        <w:tblCellMar>
          <w:top w:w="0" w:type="dxa"/>
          <w:left w:w="108" w:type="dxa"/>
          <w:bottom w:w="0" w:type="dxa"/>
          <w:right w:w="108" w:type="dxa"/>
        </w:tblCellMar>
      </w:tblPr>
      <w:tblGrid>
        <w:gridCol w:w="426"/>
        <w:gridCol w:w="851"/>
        <w:gridCol w:w="839"/>
        <w:gridCol w:w="1270"/>
        <w:gridCol w:w="2909"/>
        <w:gridCol w:w="845"/>
        <w:gridCol w:w="247"/>
        <w:gridCol w:w="494"/>
        <w:gridCol w:w="268"/>
        <w:gridCol w:w="473"/>
        <w:gridCol w:w="284"/>
        <w:gridCol w:w="450"/>
        <w:gridCol w:w="567"/>
        <w:gridCol w:w="885"/>
        <w:gridCol w:w="284"/>
      </w:tblGrid>
      <w:tr>
        <w:tblPrEx>
          <w:tblCellMar>
            <w:top w:w="0" w:type="dxa"/>
            <w:left w:w="108" w:type="dxa"/>
            <w:bottom w:w="0" w:type="dxa"/>
            <w:right w:w="108" w:type="dxa"/>
          </w:tblCellMar>
        </w:tblPrEx>
        <w:trPr>
          <w:trHeight w:val="280" w:hRule="atLeast"/>
        </w:trPr>
        <w:tc>
          <w:tcPr>
            <w:tcW w:w="3386" w:type="dxa"/>
            <w:gridSpan w:val="4"/>
            <w:tcBorders>
              <w:top w:val="nil"/>
              <w:left w:val="nil"/>
              <w:bottom w:val="single" w:color="auto" w:sz="4" w:space="0"/>
              <w:right w:val="nil"/>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编制单位；寿县技工学校</w:t>
            </w:r>
          </w:p>
        </w:tc>
        <w:tc>
          <w:tcPr>
            <w:tcW w:w="2909" w:type="dxa"/>
            <w:tcBorders>
              <w:top w:val="nil"/>
              <w:left w:val="nil"/>
              <w:bottom w:val="nil"/>
              <w:right w:val="nil"/>
            </w:tcBorders>
            <w:shd w:val="clear" w:color="auto" w:fill="auto"/>
            <w:vAlign w:val="center"/>
          </w:tcPr>
          <w:p>
            <w:pPr>
              <w:widowControl/>
              <w:jc w:val="left"/>
              <w:rPr>
                <w:rFonts w:hint="eastAsia" w:ascii="宋体" w:hAnsi="宋体" w:eastAsia="宋体" w:cs="宋体"/>
                <w:color w:val="000000"/>
                <w:kern w:val="0"/>
                <w:sz w:val="21"/>
                <w:szCs w:val="21"/>
              </w:rPr>
            </w:pPr>
          </w:p>
        </w:tc>
        <w:tc>
          <w:tcPr>
            <w:tcW w:w="845" w:type="dxa"/>
            <w:tcBorders>
              <w:top w:val="nil"/>
              <w:left w:val="nil"/>
              <w:bottom w:val="nil"/>
              <w:right w:val="nil"/>
            </w:tcBorders>
            <w:shd w:val="clear" w:color="auto" w:fill="auto"/>
            <w:vAlign w:val="center"/>
          </w:tcPr>
          <w:p>
            <w:pPr>
              <w:widowControl/>
              <w:jc w:val="left"/>
              <w:rPr>
                <w:rFonts w:hint="eastAsia" w:ascii="宋体" w:hAnsi="宋体" w:eastAsia="宋体" w:cs="宋体"/>
                <w:color w:val="000000"/>
                <w:kern w:val="0"/>
                <w:sz w:val="21"/>
                <w:szCs w:val="21"/>
              </w:rPr>
            </w:pPr>
          </w:p>
        </w:tc>
        <w:tc>
          <w:tcPr>
            <w:tcW w:w="247" w:type="dxa"/>
            <w:tcBorders>
              <w:top w:val="nil"/>
              <w:left w:val="nil"/>
              <w:bottom w:val="nil"/>
              <w:right w:val="nil"/>
            </w:tcBorders>
            <w:shd w:val="clear" w:color="auto" w:fill="auto"/>
            <w:noWrap/>
            <w:vAlign w:val="center"/>
          </w:tcPr>
          <w:p>
            <w:pPr>
              <w:widowControl/>
              <w:jc w:val="left"/>
              <w:rPr>
                <w:rFonts w:hint="eastAsia" w:ascii="宋体" w:hAnsi="宋体" w:eastAsia="宋体" w:cs="宋体"/>
                <w:color w:val="000000"/>
                <w:kern w:val="0"/>
                <w:sz w:val="21"/>
                <w:szCs w:val="21"/>
              </w:rPr>
            </w:pPr>
          </w:p>
        </w:tc>
        <w:tc>
          <w:tcPr>
            <w:tcW w:w="762" w:type="dxa"/>
            <w:gridSpan w:val="2"/>
            <w:tcBorders>
              <w:top w:val="nil"/>
              <w:left w:val="nil"/>
              <w:bottom w:val="nil"/>
              <w:right w:val="nil"/>
            </w:tcBorders>
            <w:shd w:val="clear" w:color="auto" w:fill="auto"/>
            <w:noWrap/>
            <w:vAlign w:val="center"/>
          </w:tcPr>
          <w:p>
            <w:pPr>
              <w:widowControl/>
              <w:jc w:val="left"/>
              <w:rPr>
                <w:rFonts w:hint="eastAsia" w:ascii="宋体" w:hAnsi="宋体" w:eastAsia="宋体" w:cs="宋体"/>
                <w:color w:val="000000"/>
                <w:kern w:val="0"/>
                <w:sz w:val="21"/>
                <w:szCs w:val="21"/>
              </w:rPr>
            </w:pPr>
          </w:p>
        </w:tc>
        <w:tc>
          <w:tcPr>
            <w:tcW w:w="757" w:type="dxa"/>
            <w:gridSpan w:val="2"/>
            <w:tcBorders>
              <w:top w:val="nil"/>
              <w:left w:val="nil"/>
              <w:bottom w:val="nil"/>
              <w:right w:val="nil"/>
            </w:tcBorders>
            <w:shd w:val="clear" w:color="auto" w:fill="auto"/>
            <w:noWrap/>
            <w:vAlign w:val="center"/>
          </w:tcPr>
          <w:p>
            <w:pPr>
              <w:widowControl/>
              <w:jc w:val="left"/>
              <w:rPr>
                <w:rFonts w:hint="eastAsia" w:ascii="宋体" w:hAnsi="宋体" w:eastAsia="宋体" w:cs="宋体"/>
                <w:color w:val="000000"/>
                <w:kern w:val="0"/>
                <w:sz w:val="21"/>
                <w:szCs w:val="21"/>
              </w:rPr>
            </w:pPr>
          </w:p>
        </w:tc>
        <w:tc>
          <w:tcPr>
            <w:tcW w:w="2186" w:type="dxa"/>
            <w:gridSpan w:val="4"/>
            <w:tcBorders>
              <w:top w:val="nil"/>
              <w:left w:val="nil"/>
              <w:bottom w:val="single" w:color="auto" w:sz="4" w:space="0"/>
              <w:right w:val="nil"/>
            </w:tcBorders>
            <w:shd w:val="clear" w:color="auto" w:fill="auto"/>
            <w:noWrap/>
            <w:vAlign w:val="center"/>
          </w:tcPr>
          <w:p>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单位：万元</w:t>
            </w:r>
          </w:p>
        </w:tc>
      </w:tr>
      <w:tr>
        <w:tblPrEx>
          <w:tblCellMar>
            <w:top w:w="0" w:type="dxa"/>
            <w:left w:w="108" w:type="dxa"/>
            <w:bottom w:w="0" w:type="dxa"/>
            <w:right w:w="108" w:type="dxa"/>
          </w:tblCellMar>
        </w:tblPrEx>
        <w:trPr>
          <w:gridAfter w:val="1"/>
          <w:wAfter w:w="284" w:type="dxa"/>
          <w:trHeight w:val="280" w:hRule="atLeast"/>
        </w:trPr>
        <w:tc>
          <w:tcPr>
            <w:tcW w:w="426"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85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支出项目类别（其他运转类/特定目标类）</w:t>
            </w:r>
          </w:p>
        </w:tc>
        <w:tc>
          <w:tcPr>
            <w:tcW w:w="83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项目名称</w:t>
            </w:r>
          </w:p>
        </w:tc>
        <w:tc>
          <w:tcPr>
            <w:tcW w:w="127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编报政</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策依据</w:t>
            </w:r>
          </w:p>
        </w:tc>
        <w:tc>
          <w:tcPr>
            <w:tcW w:w="290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工作目标</w:t>
            </w:r>
          </w:p>
        </w:tc>
        <w:tc>
          <w:tcPr>
            <w:tcW w:w="845"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项目实    施时间</w:t>
            </w:r>
          </w:p>
        </w:tc>
        <w:tc>
          <w:tcPr>
            <w:tcW w:w="2783" w:type="dxa"/>
            <w:gridSpan w:val="7"/>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所需经费来源</w:t>
            </w:r>
          </w:p>
        </w:tc>
        <w:tc>
          <w:tcPr>
            <w:tcW w:w="88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备注（部门/非部门）</w:t>
            </w:r>
          </w:p>
        </w:tc>
      </w:tr>
      <w:tr>
        <w:tblPrEx>
          <w:tblCellMar>
            <w:top w:w="0" w:type="dxa"/>
            <w:left w:w="108" w:type="dxa"/>
            <w:bottom w:w="0" w:type="dxa"/>
            <w:right w:w="108" w:type="dxa"/>
          </w:tblCellMar>
        </w:tblPrEx>
        <w:trPr>
          <w:gridAfter w:val="1"/>
          <w:wAfter w:w="284" w:type="dxa"/>
          <w:trHeight w:val="1040" w:hRule="atLeast"/>
        </w:trPr>
        <w:tc>
          <w:tcPr>
            <w:tcW w:w="42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1"/>
                <w:szCs w:val="21"/>
              </w:rPr>
            </w:pPr>
          </w:p>
        </w:tc>
        <w:tc>
          <w:tcPr>
            <w:tcW w:w="851"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1"/>
                <w:szCs w:val="21"/>
              </w:rPr>
            </w:pPr>
          </w:p>
        </w:tc>
        <w:tc>
          <w:tcPr>
            <w:tcW w:w="83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1"/>
                <w:szCs w:val="21"/>
              </w:rPr>
            </w:pPr>
          </w:p>
        </w:tc>
        <w:tc>
          <w:tcPr>
            <w:tcW w:w="12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1"/>
                <w:szCs w:val="21"/>
              </w:rPr>
            </w:pPr>
          </w:p>
        </w:tc>
        <w:tc>
          <w:tcPr>
            <w:tcW w:w="2909"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1"/>
                <w:szCs w:val="21"/>
              </w:rPr>
            </w:pPr>
          </w:p>
        </w:tc>
        <w:tc>
          <w:tcPr>
            <w:tcW w:w="845"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1"/>
                <w:szCs w:val="21"/>
              </w:rPr>
            </w:pPr>
          </w:p>
        </w:tc>
        <w:tc>
          <w:tcPr>
            <w:tcW w:w="74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小计</w:t>
            </w:r>
          </w:p>
        </w:tc>
        <w:tc>
          <w:tcPr>
            <w:tcW w:w="741"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一般公共</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预算资金</w:t>
            </w:r>
          </w:p>
        </w:tc>
        <w:tc>
          <w:tcPr>
            <w:tcW w:w="734"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政府性基金</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预算资金</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其他</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资金</w:t>
            </w:r>
          </w:p>
        </w:tc>
        <w:tc>
          <w:tcPr>
            <w:tcW w:w="885"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1"/>
                <w:szCs w:val="21"/>
              </w:rPr>
            </w:pPr>
          </w:p>
        </w:tc>
      </w:tr>
      <w:tr>
        <w:tblPrEx>
          <w:tblCellMar>
            <w:top w:w="0" w:type="dxa"/>
            <w:left w:w="108" w:type="dxa"/>
            <w:bottom w:w="0" w:type="dxa"/>
            <w:right w:w="108" w:type="dxa"/>
          </w:tblCellMar>
        </w:tblPrEx>
        <w:trPr>
          <w:gridAfter w:val="1"/>
          <w:wAfter w:w="284" w:type="dxa"/>
          <w:trHeight w:val="1915" w:hRule="atLeast"/>
        </w:trPr>
        <w:tc>
          <w:tcPr>
            <w:tcW w:w="4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851" w:type="dxa"/>
            <w:tcBorders>
              <w:top w:val="nil"/>
              <w:left w:val="nil"/>
              <w:bottom w:val="nil"/>
              <w:right w:val="nil"/>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其他运转类</w:t>
            </w:r>
          </w:p>
        </w:tc>
        <w:tc>
          <w:tcPr>
            <w:tcW w:w="8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免学费</w:t>
            </w:r>
          </w:p>
        </w:tc>
        <w:tc>
          <w:tcPr>
            <w:tcW w:w="1270" w:type="dxa"/>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2022年秋季学期淮南市技工院校学生资助工作方案</w:t>
            </w:r>
          </w:p>
        </w:tc>
        <w:tc>
          <w:tcPr>
            <w:tcW w:w="290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为社会输送思想过硬、品学兼优、具有综合职业能力的专业型、技能型人才。</w:t>
            </w:r>
          </w:p>
        </w:tc>
        <w:tc>
          <w:tcPr>
            <w:tcW w:w="845"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2023年</w:t>
            </w:r>
          </w:p>
        </w:tc>
        <w:tc>
          <w:tcPr>
            <w:tcW w:w="74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82.06</w:t>
            </w:r>
          </w:p>
        </w:tc>
        <w:tc>
          <w:tcPr>
            <w:tcW w:w="74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82.06</w:t>
            </w:r>
          </w:p>
        </w:tc>
        <w:tc>
          <w:tcPr>
            <w:tcW w:w="7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5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非部门</w:t>
            </w:r>
          </w:p>
        </w:tc>
      </w:tr>
      <w:tr>
        <w:tblPrEx>
          <w:tblCellMar>
            <w:top w:w="0" w:type="dxa"/>
            <w:left w:w="108" w:type="dxa"/>
            <w:bottom w:w="0" w:type="dxa"/>
            <w:right w:w="108" w:type="dxa"/>
          </w:tblCellMar>
        </w:tblPrEx>
        <w:trPr>
          <w:gridAfter w:val="1"/>
          <w:wAfter w:w="284" w:type="dxa"/>
          <w:trHeight w:val="411" w:hRule="atLeast"/>
        </w:trPr>
        <w:tc>
          <w:tcPr>
            <w:tcW w:w="4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　</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特定目标类</w:t>
            </w:r>
          </w:p>
        </w:tc>
        <w:tc>
          <w:tcPr>
            <w:tcW w:w="83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助学金</w:t>
            </w:r>
          </w:p>
        </w:tc>
        <w:tc>
          <w:tcPr>
            <w:tcW w:w="127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r>
              <w:rPr>
                <w:rFonts w:hint="eastAsia" w:ascii="宋体" w:hAnsi="宋体" w:eastAsia="宋体" w:cs="宋体"/>
                <w:color w:val="000000"/>
                <w:kern w:val="0"/>
                <w:sz w:val="21"/>
                <w:szCs w:val="21"/>
                <w:lang w:val="en-US" w:eastAsia="zh-CN"/>
              </w:rPr>
              <w:t>2022年秋季学期淮南市技工院校学生资助工作方案</w:t>
            </w:r>
          </w:p>
        </w:tc>
        <w:tc>
          <w:tcPr>
            <w:tcW w:w="290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为社会输送思想过硬、品学兼优、具有综合职业能力的专业型、技能型人才。</w:t>
            </w:r>
          </w:p>
        </w:tc>
        <w:tc>
          <w:tcPr>
            <w:tcW w:w="845"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2023</w:t>
            </w:r>
          </w:p>
        </w:tc>
        <w:tc>
          <w:tcPr>
            <w:tcW w:w="74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13.2</w:t>
            </w:r>
          </w:p>
        </w:tc>
        <w:tc>
          <w:tcPr>
            <w:tcW w:w="74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13.2</w:t>
            </w:r>
          </w:p>
        </w:tc>
        <w:tc>
          <w:tcPr>
            <w:tcW w:w="73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p>
        </w:tc>
        <w:tc>
          <w:tcPr>
            <w:tcW w:w="5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非部门　</w:t>
            </w:r>
          </w:p>
        </w:tc>
      </w:tr>
      <w:tr>
        <w:tblPrEx>
          <w:tblCellMar>
            <w:top w:w="0" w:type="dxa"/>
            <w:left w:w="108" w:type="dxa"/>
            <w:bottom w:w="0" w:type="dxa"/>
            <w:right w:w="108" w:type="dxa"/>
          </w:tblCellMar>
        </w:tblPrEx>
        <w:trPr>
          <w:gridAfter w:val="1"/>
          <w:wAfter w:w="284" w:type="dxa"/>
          <w:trHeight w:val="417" w:hRule="atLeast"/>
        </w:trPr>
        <w:tc>
          <w:tcPr>
            <w:tcW w:w="4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83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27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290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845"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74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74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7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5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bl>
    <w:p>
      <w:pPr>
        <w:keepNext w:val="0"/>
        <w:keepLines w:val="0"/>
        <w:pageBreakBefore w:val="0"/>
        <w:widowControl w:val="0"/>
        <w:kinsoku/>
        <w:wordWrap/>
        <w:overflowPunct/>
        <w:autoSpaceDE/>
        <w:autoSpaceDN/>
        <w:bidi w:val="0"/>
        <w:adjustRightInd/>
        <w:snapToGrid/>
        <w:spacing w:line="600" w:lineRule="exact"/>
        <w:ind w:firstLine="562" w:firstLineChars="200"/>
        <w:textAlignment w:val="auto"/>
        <w:rPr>
          <w:rFonts w:hint="eastAsia" w:ascii="宋体" w:hAnsi="宋体" w:eastAsia="宋体" w:cs="宋体"/>
          <w:b/>
          <w:bCs/>
          <w:color w:val="333333"/>
          <w:sz w:val="28"/>
          <w:szCs w:val="28"/>
          <w:shd w:val="clear" w:color="auto" w:fill="FFFFFF"/>
        </w:rPr>
      </w:pPr>
      <w:r>
        <w:rPr>
          <w:rFonts w:hint="eastAsia" w:ascii="宋体" w:hAnsi="宋体" w:eastAsia="宋体" w:cs="宋体"/>
          <w:b/>
          <w:bCs/>
          <w:color w:val="333333"/>
          <w:sz w:val="28"/>
          <w:szCs w:val="28"/>
          <w:shd w:val="clear" w:color="auto" w:fill="FFFFFF"/>
        </w:rPr>
        <w:t>二、评审结论及审减（增）原因</w:t>
      </w:r>
    </w:p>
    <w:p>
      <w:pPr>
        <w:keepNext w:val="0"/>
        <w:keepLines w:val="0"/>
        <w:pageBreakBefore w:val="0"/>
        <w:widowControl w:val="0"/>
        <w:kinsoku/>
        <w:wordWrap/>
        <w:overflowPunct/>
        <w:autoSpaceDE/>
        <w:autoSpaceDN/>
        <w:bidi w:val="0"/>
        <w:adjustRightInd/>
        <w:snapToGrid/>
        <w:spacing w:line="600" w:lineRule="exact"/>
        <w:ind w:firstLine="560" w:firstLineChars="200"/>
        <w:textAlignment w:val="auto"/>
        <w:rPr>
          <w:rFonts w:hint="eastAsia"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该项目经费报审资金95.26万元，评审审定预算建议数为95.26万元。 </w:t>
      </w:r>
    </w:p>
    <w:p>
      <w:pPr>
        <w:pStyle w:val="4"/>
        <w:keepNext w:val="0"/>
        <w:keepLines w:val="0"/>
        <w:pageBreakBefore w:val="0"/>
        <w:widowControl w:val="0"/>
        <w:shd w:val="clear" w:color="auto" w:fill="FFFFFF"/>
        <w:kinsoku/>
        <w:wordWrap/>
        <w:overflowPunct/>
        <w:topLinePunct/>
        <w:autoSpaceDE/>
        <w:autoSpaceDN/>
        <w:bidi w:val="0"/>
        <w:adjustRightInd/>
        <w:snapToGrid/>
        <w:spacing w:beforeAutospacing="0" w:afterAutospacing="0" w:line="600" w:lineRule="exact"/>
        <w:ind w:firstLine="562" w:firstLineChars="200"/>
        <w:jc w:val="both"/>
        <w:textAlignment w:val="auto"/>
        <w:rPr>
          <w:rFonts w:hint="eastAsia" w:ascii="宋体" w:hAnsi="宋体" w:eastAsia="宋体" w:cs="宋体"/>
          <w:b/>
          <w:bCs/>
          <w:color w:val="333333"/>
          <w:kern w:val="2"/>
          <w:sz w:val="28"/>
          <w:szCs w:val="28"/>
          <w:shd w:val="clear" w:color="auto" w:fill="FFFFFF"/>
        </w:rPr>
      </w:pPr>
      <w:r>
        <w:rPr>
          <w:rFonts w:hint="eastAsia" w:ascii="宋体" w:hAnsi="宋体" w:eastAsia="宋体" w:cs="宋体"/>
          <w:b/>
          <w:bCs/>
          <w:color w:val="333333"/>
          <w:kern w:val="2"/>
          <w:sz w:val="28"/>
          <w:szCs w:val="28"/>
          <w:shd w:val="clear" w:color="auto" w:fill="FFFFFF"/>
        </w:rPr>
        <w:t>三、其他需要说明的问题</w:t>
      </w:r>
    </w:p>
    <w:p>
      <w:pPr>
        <w:pStyle w:val="4"/>
        <w:keepNext w:val="0"/>
        <w:keepLines w:val="0"/>
        <w:pageBreakBefore w:val="0"/>
        <w:widowControl w:val="0"/>
        <w:shd w:val="clear" w:color="auto" w:fill="FFFFFF"/>
        <w:kinsoku/>
        <w:wordWrap/>
        <w:overflowPunct/>
        <w:topLinePunct/>
        <w:autoSpaceDE/>
        <w:autoSpaceDN/>
        <w:bidi w:val="0"/>
        <w:adjustRightInd/>
        <w:snapToGrid/>
        <w:spacing w:beforeAutospacing="0" w:afterAutospacing="0" w:line="600" w:lineRule="exact"/>
        <w:ind w:firstLine="560" w:firstLineChars="200"/>
        <w:jc w:val="both"/>
        <w:textAlignment w:val="auto"/>
        <w:rPr>
          <w:rFonts w:hint="eastAsia" w:ascii="宋体" w:hAnsi="宋体" w:eastAsia="宋体" w:cs="宋体"/>
          <w:color w:val="333333"/>
          <w:kern w:val="2"/>
          <w:sz w:val="28"/>
          <w:szCs w:val="28"/>
          <w:shd w:val="clear" w:color="auto" w:fill="FFFFFF"/>
        </w:rPr>
      </w:pPr>
      <w:r>
        <w:rPr>
          <w:rFonts w:hint="eastAsia" w:ascii="宋体" w:hAnsi="宋体" w:eastAsia="宋体" w:cs="宋体"/>
          <w:color w:val="333333"/>
          <w:kern w:val="2"/>
          <w:sz w:val="28"/>
          <w:szCs w:val="28"/>
          <w:shd w:val="clear" w:color="auto" w:fill="FFFFFF"/>
        </w:rPr>
        <w:t>1.该评估经济行为符合项目预算编制的相关要求及规定。</w:t>
      </w:r>
    </w:p>
    <w:p>
      <w:pPr>
        <w:pStyle w:val="4"/>
        <w:keepNext w:val="0"/>
        <w:keepLines w:val="0"/>
        <w:pageBreakBefore w:val="0"/>
        <w:widowControl w:val="0"/>
        <w:shd w:val="clear" w:color="auto" w:fill="FFFFFF"/>
        <w:kinsoku/>
        <w:wordWrap/>
        <w:overflowPunct/>
        <w:topLinePunct/>
        <w:autoSpaceDE/>
        <w:autoSpaceDN/>
        <w:bidi w:val="0"/>
        <w:adjustRightInd/>
        <w:snapToGrid/>
        <w:spacing w:beforeAutospacing="0" w:afterAutospacing="0" w:line="600" w:lineRule="exact"/>
        <w:ind w:firstLine="560" w:firstLineChars="200"/>
        <w:jc w:val="both"/>
        <w:textAlignment w:val="auto"/>
        <w:rPr>
          <w:rFonts w:hint="eastAsia" w:ascii="宋体" w:hAnsi="宋体" w:eastAsia="宋体" w:cs="宋体"/>
          <w:color w:val="333333"/>
          <w:kern w:val="2"/>
          <w:sz w:val="28"/>
          <w:szCs w:val="28"/>
          <w:shd w:val="clear" w:color="auto" w:fill="FFFFFF"/>
        </w:rPr>
      </w:pPr>
      <w:r>
        <w:rPr>
          <w:rFonts w:hint="eastAsia" w:ascii="宋体" w:hAnsi="宋体" w:eastAsia="宋体" w:cs="宋体"/>
          <w:color w:val="333333"/>
          <w:kern w:val="2"/>
          <w:sz w:val="28"/>
          <w:szCs w:val="28"/>
          <w:shd w:val="clear" w:color="auto" w:fill="FFFFFF"/>
        </w:rPr>
        <w:t>2.该评估所提供的相关文件及材料真实合理、准确完整。</w:t>
      </w:r>
    </w:p>
    <w:p>
      <w:pPr>
        <w:pStyle w:val="4"/>
        <w:keepNext w:val="0"/>
        <w:keepLines w:val="0"/>
        <w:pageBreakBefore w:val="0"/>
        <w:widowControl w:val="0"/>
        <w:shd w:val="clear" w:color="auto" w:fill="FFFFFF"/>
        <w:kinsoku/>
        <w:wordWrap/>
        <w:overflowPunct/>
        <w:topLinePunct/>
        <w:autoSpaceDE/>
        <w:autoSpaceDN/>
        <w:bidi w:val="0"/>
        <w:adjustRightInd/>
        <w:snapToGrid/>
        <w:spacing w:beforeAutospacing="0" w:afterAutospacing="0" w:line="600" w:lineRule="exact"/>
        <w:ind w:firstLine="560" w:firstLineChars="200"/>
        <w:jc w:val="both"/>
        <w:textAlignment w:val="auto"/>
        <w:rPr>
          <w:rFonts w:hint="eastAsia" w:ascii="宋体" w:hAnsi="宋体" w:eastAsia="宋体" w:cs="宋体"/>
          <w:color w:val="333333"/>
          <w:kern w:val="2"/>
          <w:sz w:val="28"/>
          <w:szCs w:val="28"/>
          <w:shd w:val="clear" w:color="auto" w:fill="FFFFFF"/>
        </w:rPr>
      </w:pPr>
      <w:r>
        <w:rPr>
          <w:rFonts w:hint="eastAsia" w:ascii="宋体" w:hAnsi="宋体" w:eastAsia="宋体" w:cs="宋体"/>
          <w:color w:val="333333"/>
          <w:kern w:val="2"/>
          <w:sz w:val="28"/>
          <w:szCs w:val="28"/>
          <w:shd w:val="clear" w:color="auto" w:fill="FFFFFF"/>
        </w:rPr>
        <w:t>3.该评估仅适用于寿县技工学校。</w:t>
      </w:r>
    </w:p>
    <w:p>
      <w:pPr>
        <w:pStyle w:val="4"/>
        <w:keepNext w:val="0"/>
        <w:keepLines w:val="0"/>
        <w:pageBreakBefore w:val="0"/>
        <w:widowControl w:val="0"/>
        <w:shd w:val="clear" w:color="auto" w:fill="FFFFFF"/>
        <w:kinsoku/>
        <w:wordWrap/>
        <w:overflowPunct/>
        <w:topLinePunct/>
        <w:autoSpaceDE/>
        <w:autoSpaceDN/>
        <w:bidi w:val="0"/>
        <w:adjustRightInd/>
        <w:snapToGrid/>
        <w:spacing w:beforeAutospacing="0" w:afterAutospacing="0" w:line="600" w:lineRule="exact"/>
        <w:ind w:firstLine="560" w:firstLineChars="200"/>
        <w:jc w:val="both"/>
        <w:textAlignment w:val="auto"/>
        <w:rPr>
          <w:rFonts w:hint="eastAsia" w:ascii="宋体" w:hAnsi="宋体" w:eastAsia="宋体" w:cs="宋体"/>
          <w:color w:val="333333"/>
          <w:kern w:val="2"/>
          <w:sz w:val="28"/>
          <w:szCs w:val="28"/>
          <w:shd w:val="clear" w:color="auto" w:fill="FFFFFF"/>
        </w:rPr>
      </w:pPr>
      <w:r>
        <w:rPr>
          <w:rFonts w:hint="eastAsia" w:ascii="宋体" w:hAnsi="宋体" w:eastAsia="宋体" w:cs="宋体"/>
          <w:color w:val="333333"/>
          <w:kern w:val="2"/>
          <w:sz w:val="28"/>
          <w:szCs w:val="28"/>
          <w:shd w:val="clear" w:color="auto" w:fill="FFFFFF"/>
        </w:rPr>
        <w:t>4.该评估由校长室、办公室、教务处、教代会代表等成员组成，并保证该评估真实有效、合理合法。</w:t>
      </w:r>
    </w:p>
    <w:p>
      <w:pPr>
        <w:pStyle w:val="4"/>
        <w:keepNext w:val="0"/>
        <w:keepLines w:val="0"/>
        <w:pageBreakBefore w:val="0"/>
        <w:widowControl w:val="0"/>
        <w:shd w:val="clear" w:color="auto" w:fill="FFFFFF"/>
        <w:kinsoku/>
        <w:wordWrap/>
        <w:overflowPunct/>
        <w:topLinePunct/>
        <w:autoSpaceDE/>
        <w:autoSpaceDN/>
        <w:bidi w:val="0"/>
        <w:adjustRightInd/>
        <w:snapToGrid/>
        <w:spacing w:beforeAutospacing="0" w:afterAutospacing="0" w:line="600" w:lineRule="exact"/>
        <w:ind w:firstLine="3220" w:firstLineChars="1150"/>
        <w:jc w:val="both"/>
        <w:textAlignment w:val="auto"/>
        <w:rPr>
          <w:rFonts w:hint="eastAsia" w:ascii="宋体" w:hAnsi="宋体" w:eastAsia="宋体" w:cs="宋体"/>
          <w:color w:val="333333"/>
          <w:kern w:val="2"/>
          <w:sz w:val="28"/>
          <w:szCs w:val="28"/>
          <w:shd w:val="clear" w:color="auto" w:fill="FFFFFF"/>
        </w:rPr>
      </w:pPr>
    </w:p>
    <w:p>
      <w:pPr>
        <w:pStyle w:val="4"/>
        <w:shd w:val="clear" w:color="auto" w:fill="FFFFFF"/>
        <w:topLinePunct/>
        <w:spacing w:beforeAutospacing="0" w:afterAutospacing="0" w:line="560" w:lineRule="exact"/>
        <w:ind w:firstLine="5740" w:firstLineChars="2050"/>
        <w:jc w:val="both"/>
        <w:rPr>
          <w:rFonts w:hint="eastAsia" w:ascii="宋体" w:hAnsi="宋体" w:eastAsia="宋体" w:cs="宋体"/>
          <w:color w:val="333333"/>
          <w:kern w:val="2"/>
          <w:sz w:val="28"/>
          <w:szCs w:val="28"/>
          <w:shd w:val="clear" w:color="auto" w:fill="FFFFFF"/>
        </w:rPr>
      </w:pPr>
      <w:r>
        <w:rPr>
          <w:rFonts w:hint="eastAsia" w:ascii="宋体" w:hAnsi="宋体" w:eastAsia="宋体" w:cs="宋体"/>
          <w:color w:val="333333"/>
          <w:kern w:val="2"/>
          <w:sz w:val="28"/>
          <w:szCs w:val="28"/>
          <w:shd w:val="clear" w:color="auto" w:fill="FFFFFF"/>
        </w:rPr>
        <w:t>20</w:t>
      </w:r>
      <w:r>
        <w:rPr>
          <w:rFonts w:hint="eastAsia" w:ascii="宋体" w:hAnsi="宋体" w:cs="宋体"/>
          <w:color w:val="333333"/>
          <w:kern w:val="2"/>
          <w:sz w:val="28"/>
          <w:szCs w:val="28"/>
          <w:shd w:val="clear" w:color="auto" w:fill="FFFFFF"/>
          <w:lang w:val="en-US" w:eastAsia="zh-CN"/>
        </w:rPr>
        <w:t>22</w:t>
      </w:r>
      <w:r>
        <w:rPr>
          <w:rFonts w:hint="eastAsia" w:ascii="宋体" w:hAnsi="宋体" w:eastAsia="宋体" w:cs="宋体"/>
          <w:color w:val="333333"/>
          <w:kern w:val="2"/>
          <w:sz w:val="28"/>
          <w:szCs w:val="28"/>
          <w:shd w:val="clear" w:color="auto" w:fill="FFFFFF"/>
        </w:rPr>
        <w:t>年10月23日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RlMTFmZThmMWY5YzM1ZWUzMzQyMzgwNmRkYzYzNGMifQ=="/>
  </w:docVars>
  <w:rsids>
    <w:rsidRoot w:val="00C74EF0"/>
    <w:rsid w:val="000034AE"/>
    <w:rsid w:val="00013C9C"/>
    <w:rsid w:val="0005010C"/>
    <w:rsid w:val="00070AC5"/>
    <w:rsid w:val="00070F37"/>
    <w:rsid w:val="00081AB9"/>
    <w:rsid w:val="00095795"/>
    <w:rsid w:val="000A0CEE"/>
    <w:rsid w:val="000E6D1B"/>
    <w:rsid w:val="000F75D4"/>
    <w:rsid w:val="00125FEC"/>
    <w:rsid w:val="00127640"/>
    <w:rsid w:val="001473A0"/>
    <w:rsid w:val="00164E7E"/>
    <w:rsid w:val="0016791F"/>
    <w:rsid w:val="001708E1"/>
    <w:rsid w:val="00174E72"/>
    <w:rsid w:val="00184B56"/>
    <w:rsid w:val="00185412"/>
    <w:rsid w:val="0019577A"/>
    <w:rsid w:val="001B21A9"/>
    <w:rsid w:val="001B2EFF"/>
    <w:rsid w:val="001B49D0"/>
    <w:rsid w:val="001C5425"/>
    <w:rsid w:val="001E2F3E"/>
    <w:rsid w:val="00214A84"/>
    <w:rsid w:val="0025675E"/>
    <w:rsid w:val="002627A8"/>
    <w:rsid w:val="002C3B9F"/>
    <w:rsid w:val="002F1D84"/>
    <w:rsid w:val="003519A6"/>
    <w:rsid w:val="00377A16"/>
    <w:rsid w:val="00394731"/>
    <w:rsid w:val="003977E5"/>
    <w:rsid w:val="003B2876"/>
    <w:rsid w:val="003D0D7D"/>
    <w:rsid w:val="003D5885"/>
    <w:rsid w:val="003F47A2"/>
    <w:rsid w:val="003F4851"/>
    <w:rsid w:val="004358B1"/>
    <w:rsid w:val="00442767"/>
    <w:rsid w:val="004B1086"/>
    <w:rsid w:val="004C1A5D"/>
    <w:rsid w:val="004C66D0"/>
    <w:rsid w:val="005009FD"/>
    <w:rsid w:val="00520643"/>
    <w:rsid w:val="00540701"/>
    <w:rsid w:val="005841E5"/>
    <w:rsid w:val="00596871"/>
    <w:rsid w:val="005B25D0"/>
    <w:rsid w:val="005C7CA1"/>
    <w:rsid w:val="005E02F0"/>
    <w:rsid w:val="005E25CF"/>
    <w:rsid w:val="005F024B"/>
    <w:rsid w:val="005F6890"/>
    <w:rsid w:val="00605B90"/>
    <w:rsid w:val="0061719D"/>
    <w:rsid w:val="00657D84"/>
    <w:rsid w:val="00680B8E"/>
    <w:rsid w:val="006B2D26"/>
    <w:rsid w:val="006C5BD1"/>
    <w:rsid w:val="006E09B6"/>
    <w:rsid w:val="007026D8"/>
    <w:rsid w:val="00706776"/>
    <w:rsid w:val="007A4C25"/>
    <w:rsid w:val="00802722"/>
    <w:rsid w:val="00815558"/>
    <w:rsid w:val="00823275"/>
    <w:rsid w:val="008242FE"/>
    <w:rsid w:val="00831CDD"/>
    <w:rsid w:val="0085580C"/>
    <w:rsid w:val="00863C3E"/>
    <w:rsid w:val="00891B7A"/>
    <w:rsid w:val="00893AB1"/>
    <w:rsid w:val="008976B5"/>
    <w:rsid w:val="008E03B6"/>
    <w:rsid w:val="008E35E5"/>
    <w:rsid w:val="008F3D77"/>
    <w:rsid w:val="00930F1B"/>
    <w:rsid w:val="009370D0"/>
    <w:rsid w:val="00965B72"/>
    <w:rsid w:val="00982C7C"/>
    <w:rsid w:val="00984AC7"/>
    <w:rsid w:val="009B31B1"/>
    <w:rsid w:val="009B7441"/>
    <w:rsid w:val="009C6107"/>
    <w:rsid w:val="009C7426"/>
    <w:rsid w:val="009D3872"/>
    <w:rsid w:val="009F19F7"/>
    <w:rsid w:val="009F1D58"/>
    <w:rsid w:val="00A1436C"/>
    <w:rsid w:val="00A5149C"/>
    <w:rsid w:val="00A554DA"/>
    <w:rsid w:val="00A86BE8"/>
    <w:rsid w:val="00AC1C62"/>
    <w:rsid w:val="00AD44A9"/>
    <w:rsid w:val="00B03AF0"/>
    <w:rsid w:val="00B140BC"/>
    <w:rsid w:val="00B1617C"/>
    <w:rsid w:val="00B279C8"/>
    <w:rsid w:val="00B42F79"/>
    <w:rsid w:val="00B436A8"/>
    <w:rsid w:val="00B438E5"/>
    <w:rsid w:val="00B54C10"/>
    <w:rsid w:val="00B61E8C"/>
    <w:rsid w:val="00B90AC3"/>
    <w:rsid w:val="00B912EB"/>
    <w:rsid w:val="00BA7FCA"/>
    <w:rsid w:val="00BC0D8C"/>
    <w:rsid w:val="00C01B6B"/>
    <w:rsid w:val="00C74EF0"/>
    <w:rsid w:val="00CC0C8B"/>
    <w:rsid w:val="00D06214"/>
    <w:rsid w:val="00D13A92"/>
    <w:rsid w:val="00D14552"/>
    <w:rsid w:val="00D20A4E"/>
    <w:rsid w:val="00D35CA0"/>
    <w:rsid w:val="00DB4753"/>
    <w:rsid w:val="00DB7D29"/>
    <w:rsid w:val="00DD0AEA"/>
    <w:rsid w:val="00DD63E0"/>
    <w:rsid w:val="00DE5B63"/>
    <w:rsid w:val="00DF502C"/>
    <w:rsid w:val="00E06917"/>
    <w:rsid w:val="00E14C25"/>
    <w:rsid w:val="00E37408"/>
    <w:rsid w:val="00E44DA7"/>
    <w:rsid w:val="00E45517"/>
    <w:rsid w:val="00E5626F"/>
    <w:rsid w:val="00E60CAA"/>
    <w:rsid w:val="00E9701E"/>
    <w:rsid w:val="00EC7CFF"/>
    <w:rsid w:val="00ED2E06"/>
    <w:rsid w:val="00F0022C"/>
    <w:rsid w:val="00F04BB0"/>
    <w:rsid w:val="00F24A00"/>
    <w:rsid w:val="00F46113"/>
    <w:rsid w:val="00F515E4"/>
    <w:rsid w:val="00F54AA8"/>
    <w:rsid w:val="00F61373"/>
    <w:rsid w:val="00F67C62"/>
    <w:rsid w:val="00F80289"/>
    <w:rsid w:val="00F80676"/>
    <w:rsid w:val="00F8441A"/>
    <w:rsid w:val="00F85FBE"/>
    <w:rsid w:val="00FC2E2D"/>
    <w:rsid w:val="00FF0FF4"/>
    <w:rsid w:val="017240DE"/>
    <w:rsid w:val="01BF5575"/>
    <w:rsid w:val="020B07BA"/>
    <w:rsid w:val="02ED1C6E"/>
    <w:rsid w:val="0362331B"/>
    <w:rsid w:val="03CC21CB"/>
    <w:rsid w:val="04B844FD"/>
    <w:rsid w:val="05F652DD"/>
    <w:rsid w:val="062E2CC9"/>
    <w:rsid w:val="073A569E"/>
    <w:rsid w:val="08624EAC"/>
    <w:rsid w:val="08A47272"/>
    <w:rsid w:val="09736C45"/>
    <w:rsid w:val="09816C22"/>
    <w:rsid w:val="098B3F8E"/>
    <w:rsid w:val="0992531D"/>
    <w:rsid w:val="0AA51080"/>
    <w:rsid w:val="0B2226D0"/>
    <w:rsid w:val="0C7156BE"/>
    <w:rsid w:val="0CD93263"/>
    <w:rsid w:val="0E383E51"/>
    <w:rsid w:val="0E9C279A"/>
    <w:rsid w:val="0F386966"/>
    <w:rsid w:val="0F6E1BD4"/>
    <w:rsid w:val="1134315E"/>
    <w:rsid w:val="113B273E"/>
    <w:rsid w:val="11D43610"/>
    <w:rsid w:val="124473D0"/>
    <w:rsid w:val="13090F80"/>
    <w:rsid w:val="13201BEB"/>
    <w:rsid w:val="14FC21E4"/>
    <w:rsid w:val="15910B7E"/>
    <w:rsid w:val="15A46B04"/>
    <w:rsid w:val="15E769F0"/>
    <w:rsid w:val="165A5414"/>
    <w:rsid w:val="16C34B52"/>
    <w:rsid w:val="18F41B50"/>
    <w:rsid w:val="1ABC669E"/>
    <w:rsid w:val="1ACE63D1"/>
    <w:rsid w:val="1B4D2FD8"/>
    <w:rsid w:val="1C3109C5"/>
    <w:rsid w:val="1D5C7CC4"/>
    <w:rsid w:val="1DCA4CF5"/>
    <w:rsid w:val="1E8219AC"/>
    <w:rsid w:val="1F9A2D26"/>
    <w:rsid w:val="1FD004F5"/>
    <w:rsid w:val="2027280B"/>
    <w:rsid w:val="204C2272"/>
    <w:rsid w:val="21667363"/>
    <w:rsid w:val="21FE57EE"/>
    <w:rsid w:val="224A458F"/>
    <w:rsid w:val="2297354C"/>
    <w:rsid w:val="23A221A9"/>
    <w:rsid w:val="27E9484A"/>
    <w:rsid w:val="27F82CDF"/>
    <w:rsid w:val="29710802"/>
    <w:rsid w:val="2972146C"/>
    <w:rsid w:val="2A273408"/>
    <w:rsid w:val="2A30050E"/>
    <w:rsid w:val="2B560448"/>
    <w:rsid w:val="2C534988"/>
    <w:rsid w:val="2D371BB4"/>
    <w:rsid w:val="2D687FBF"/>
    <w:rsid w:val="2E00644A"/>
    <w:rsid w:val="314B20D2"/>
    <w:rsid w:val="32052280"/>
    <w:rsid w:val="33034761"/>
    <w:rsid w:val="3361798A"/>
    <w:rsid w:val="33F2678E"/>
    <w:rsid w:val="341E3ACD"/>
    <w:rsid w:val="34DA5C46"/>
    <w:rsid w:val="37425EAE"/>
    <w:rsid w:val="37B00EE0"/>
    <w:rsid w:val="38653A79"/>
    <w:rsid w:val="38FD0155"/>
    <w:rsid w:val="39A0424B"/>
    <w:rsid w:val="3A742699"/>
    <w:rsid w:val="3AAA7E69"/>
    <w:rsid w:val="3AFF6407"/>
    <w:rsid w:val="3B750477"/>
    <w:rsid w:val="3C8E60EF"/>
    <w:rsid w:val="3D2E4D81"/>
    <w:rsid w:val="3F4563B2"/>
    <w:rsid w:val="3F7722E4"/>
    <w:rsid w:val="40FA4F7A"/>
    <w:rsid w:val="41AA4BF2"/>
    <w:rsid w:val="41DD28D2"/>
    <w:rsid w:val="42446DF5"/>
    <w:rsid w:val="42862F6A"/>
    <w:rsid w:val="44CD30D2"/>
    <w:rsid w:val="44D206E8"/>
    <w:rsid w:val="4574354D"/>
    <w:rsid w:val="457E261E"/>
    <w:rsid w:val="45A831F7"/>
    <w:rsid w:val="45C049E4"/>
    <w:rsid w:val="475E2707"/>
    <w:rsid w:val="47723ABC"/>
    <w:rsid w:val="47760556"/>
    <w:rsid w:val="4BFA0524"/>
    <w:rsid w:val="4C1A4723"/>
    <w:rsid w:val="4D986247"/>
    <w:rsid w:val="4DA44CDC"/>
    <w:rsid w:val="4E597784"/>
    <w:rsid w:val="4E8F31A6"/>
    <w:rsid w:val="4EE664F5"/>
    <w:rsid w:val="4F697E9B"/>
    <w:rsid w:val="507B60D8"/>
    <w:rsid w:val="51ED4DB3"/>
    <w:rsid w:val="520B5239"/>
    <w:rsid w:val="53486019"/>
    <w:rsid w:val="53BC46EA"/>
    <w:rsid w:val="542425E2"/>
    <w:rsid w:val="54857525"/>
    <w:rsid w:val="561C5C67"/>
    <w:rsid w:val="57623B4D"/>
    <w:rsid w:val="588C28C0"/>
    <w:rsid w:val="589A2E73"/>
    <w:rsid w:val="58D5034F"/>
    <w:rsid w:val="58D647A4"/>
    <w:rsid w:val="599102A1"/>
    <w:rsid w:val="59EA7E2A"/>
    <w:rsid w:val="5A9315EA"/>
    <w:rsid w:val="5ADF7263"/>
    <w:rsid w:val="5B5419FF"/>
    <w:rsid w:val="5B9242D5"/>
    <w:rsid w:val="5BEE1A14"/>
    <w:rsid w:val="5C7E485A"/>
    <w:rsid w:val="5CB87D6C"/>
    <w:rsid w:val="5DCD7847"/>
    <w:rsid w:val="5E3616F8"/>
    <w:rsid w:val="5EF07C91"/>
    <w:rsid w:val="60966616"/>
    <w:rsid w:val="60C2740B"/>
    <w:rsid w:val="63350368"/>
    <w:rsid w:val="643979E4"/>
    <w:rsid w:val="64E33DF4"/>
    <w:rsid w:val="660F30F2"/>
    <w:rsid w:val="679D64DC"/>
    <w:rsid w:val="69342E70"/>
    <w:rsid w:val="6C580C23"/>
    <w:rsid w:val="6CAE2F39"/>
    <w:rsid w:val="6CD56718"/>
    <w:rsid w:val="6E533D98"/>
    <w:rsid w:val="6EF2710D"/>
    <w:rsid w:val="72FF44EF"/>
    <w:rsid w:val="732B7092"/>
    <w:rsid w:val="74DC4AE7"/>
    <w:rsid w:val="75D21A46"/>
    <w:rsid w:val="75DB11D2"/>
    <w:rsid w:val="76764AC8"/>
    <w:rsid w:val="775A1CF3"/>
    <w:rsid w:val="79660E24"/>
    <w:rsid w:val="79DC10E6"/>
    <w:rsid w:val="7B6969A9"/>
    <w:rsid w:val="7BBA5457"/>
    <w:rsid w:val="7D6F2271"/>
    <w:rsid w:val="7D761851"/>
    <w:rsid w:val="7D9B4E14"/>
    <w:rsid w:val="7F0A3F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ascii="Calibri" w:hAnsi="Calibri" w:eastAsia="宋体" w:cs="Times New Roman"/>
      <w:kern w:val="0"/>
      <w:sz w:val="24"/>
      <w:szCs w:val="24"/>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眉 Char"/>
    <w:basedOn w:val="7"/>
    <w:link w:val="3"/>
    <w:qFormat/>
    <w:uiPriority w:val="99"/>
    <w:rPr>
      <w:sz w:val="18"/>
      <w:szCs w:val="18"/>
    </w:rPr>
  </w:style>
  <w:style w:type="character" w:customStyle="1" w:styleId="9">
    <w:name w:val="页脚 Char"/>
    <w:basedOn w:val="7"/>
    <w:link w:val="2"/>
    <w:qFormat/>
    <w:uiPriority w:val="99"/>
    <w:rPr>
      <w:sz w:val="18"/>
      <w:szCs w:val="18"/>
    </w:rPr>
  </w:style>
  <w:style w:type="paragraph" w:customStyle="1" w:styleId="10">
    <w:name w:val="p0"/>
    <w:basedOn w:val="1"/>
    <w:qFormat/>
    <w:uiPriority w:val="0"/>
    <w:rPr>
      <w:rFonts w:ascii="Calibri" w:hAnsi="Calibri" w:eastAsia="宋体" w:cs="Times New Roman"/>
      <w:kern w:val="0"/>
      <w:szCs w:val="21"/>
    </w:rPr>
  </w:style>
  <w:style w:type="character" w:customStyle="1" w:styleId="11">
    <w:name w:val="15"/>
    <w:qFormat/>
    <w:uiPriority w:val="0"/>
    <w:rPr>
      <w:rFonts w:hint="default"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2613</Words>
  <Characters>2792</Characters>
  <Lines>20</Lines>
  <Paragraphs>5</Paragraphs>
  <TotalTime>0</TotalTime>
  <ScaleCrop>false</ScaleCrop>
  <LinksUpToDate>false</LinksUpToDate>
  <CharactersWithSpaces>2834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2021-06-15T09:31:00Z</dcterms:created>
  <dc:creator>Administrator</dc:creator>
  <cp:lastModifiedBy>方晓梅</cp:lastModifiedBy>
  <dcterms:modified xsi:type="dcterms:W3CDTF">2022-10-25T08:58:28Z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E96AB8241F4B437B85FD389BB05148FD</vt:lpwstr>
  </property>
</Properties>
</file>